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Información relativa a los saldos y productos financieros del Fondo de Apoyo a la Administración de Justicia, que se proporciona en cumplimiento de la obligación establecida en el artículo 911 del Acuerdo General del Pleno del Consejo de la Judicatura Federal, que establece las disposiciones en materia de actividad administrativa del propio Consejo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15 de enero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Consejo de la Judicatura Federal.- Secretaría Técnica del Fondo de Apoyo a la Administración de Justicia.- Comité Técnico del Fondo de Apoyo a la Administración de Justicia.</w:t>
      </w:r>
    </w:p>
    <w:p w:rsidR="00000000" w:rsidDel="00000000" w:rsidP="00000000" w:rsidRDefault="00000000" w:rsidRPr="00000000" w14:paraId="0000000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INFORMACIÓN RELATIVA A LOS SALDOS Y PRODUCTOS FINANCIEROS DEL FONDO DE APOYO A LA ADMINISTRACIÓN DE JUSTICIA, QUE SE PROPORCIONA EN CUMPLIMIENTO DE LA OBLIGACIÓN ESTABLECIDA EN EL ARTÍCULO 911 DEL ACUERDO GENERAL DEL PLENO DEL CONSEJO DE LA JUDICATURA FEDERAL, QUE ESTABLECE LAS DISPOSICIONES EN MATERIA DE ACTIVIDAD ADMINISTRATIVA DEL PROPIO CONSEJO.</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El 2 de enero de 2015, se publicó en el Diario Oficial de la Federación el Acuerdo General del Pleno del Consejo de la Judicatura Federal, que establece las disposiciones en materia de actividad administrativa del propio Consejo, mismo que entró en vigor al día siguiente de su publicación.</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artículo 911 del Acuerdo General en cita, textualmente prescribe:</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w:t>
      </w:r>
      <w:r w:rsidDel="00000000" w:rsidR="00000000" w:rsidRPr="00000000">
        <w:rPr>
          <w:b w:val="1"/>
          <w:color w:val="2f2f2f"/>
          <w:sz w:val="18"/>
          <w:szCs w:val="18"/>
          <w:rtl w:val="0"/>
        </w:rPr>
        <w:t xml:space="preserve">Artículo 911</w:t>
      </w:r>
      <w:r w:rsidDel="00000000" w:rsidR="00000000" w:rsidRPr="00000000">
        <w:rPr>
          <w:color w:val="2f2f2f"/>
          <w:sz w:val="18"/>
          <w:szCs w:val="18"/>
          <w:rtl w:val="0"/>
        </w:rPr>
        <w:t xml:space="preserve">.- TRANSPARENCIA Y RENDICIÓN DE CUENTAS DEL FONDO. La Secretaría Técnica enviará en forma trimestral a la entidad de fiscalización superior de la Federación, el informe correspondiente al ejercicio de los recursos que integran el patrimonio del Fondo de Apoyo. Al mismo tiempo, se publicarán en el Diario Oficial de la Federación, previa revisión de la Dirección General de Auditoría, los ingresos del periodo, incluyendo los rendimientos financieros, egresos, destino y saldo patrimonial del Fondo y se difundirá a través de la página de Internet del Fondo de Apoyo".</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De acuerdo con el precepto invocado en el último párrafo del punto anterior, el Consejo de la Judicatura Federal, fungiendo como Comité Técnico del Fondo, presenta la siguiente información:</w:t>
      </w:r>
    </w:p>
    <w:p w:rsidR="00000000" w:rsidDel="00000000" w:rsidP="00000000" w:rsidRDefault="00000000" w:rsidRPr="00000000" w14:paraId="0000000B">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INFORME CORRESPONDIENTE AL EJERCICIO DE LOS RECURSOS QUE INTEGRAN EL PATRIMONIO DEL FONDO DE APOYO A LA ADMINISTRACIÓN DE JUSTICIA DEL PERIODO OCTUBRE A DICIEMBRE DE 2020.</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905"/>
        <w:gridCol w:w="1920"/>
        <w:gridCol w:w="1890"/>
        <w:gridCol w:w="1545"/>
        <w:tblGridChange w:id="0">
          <w:tblGrid>
            <w:gridCol w:w="1545"/>
            <w:gridCol w:w="1905"/>
            <w:gridCol w:w="1920"/>
            <w:gridCol w:w="1890"/>
            <w:gridCol w:w="1545"/>
          </w:tblGrid>
        </w:tblGridChange>
      </w:tblGrid>
      <w:tr>
        <w:trPr>
          <w:trHeight w:val="13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0C">
            <w:pPr>
              <w:spacing w:after="60" w:before="60" w:lineRule="auto"/>
              <w:ind w:left="80" w:firstLine="0"/>
              <w:jc w:val="center"/>
              <w:rPr>
                <w:sz w:val="16"/>
                <w:szCs w:val="16"/>
              </w:rPr>
            </w:pPr>
            <w:r w:rsidDel="00000000" w:rsidR="00000000" w:rsidRPr="00000000">
              <w:rPr>
                <w:sz w:val="16"/>
                <w:szCs w:val="16"/>
                <w:rtl w:val="0"/>
              </w:rPr>
              <w:t xml:space="preserve">Saldo patrimonial</w:t>
            </w:r>
          </w:p>
          <w:p w:rsidR="00000000" w:rsidDel="00000000" w:rsidP="00000000" w:rsidRDefault="00000000" w:rsidRPr="00000000" w14:paraId="0000000D">
            <w:pPr>
              <w:spacing w:after="60" w:before="60" w:lineRule="auto"/>
              <w:ind w:left="80" w:firstLine="0"/>
              <w:jc w:val="center"/>
              <w:rPr>
                <w:sz w:val="16"/>
                <w:szCs w:val="16"/>
              </w:rPr>
            </w:pPr>
            <w:r w:rsidDel="00000000" w:rsidR="00000000" w:rsidRPr="00000000">
              <w:rPr>
                <w:sz w:val="16"/>
                <w:szCs w:val="16"/>
                <w:rtl w:val="0"/>
              </w:rPr>
              <w:t xml:space="preserve">al 30 de</w:t>
            </w:r>
          </w:p>
          <w:p w:rsidR="00000000" w:rsidDel="00000000" w:rsidP="00000000" w:rsidRDefault="00000000" w:rsidRPr="00000000" w14:paraId="0000000E">
            <w:pPr>
              <w:spacing w:after="60" w:before="60" w:lineRule="auto"/>
              <w:ind w:left="80" w:firstLine="0"/>
              <w:jc w:val="center"/>
              <w:rPr>
                <w:sz w:val="16"/>
                <w:szCs w:val="16"/>
              </w:rPr>
            </w:pPr>
            <w:r w:rsidDel="00000000" w:rsidR="00000000" w:rsidRPr="00000000">
              <w:rPr>
                <w:sz w:val="16"/>
                <w:szCs w:val="16"/>
                <w:rtl w:val="0"/>
              </w:rPr>
              <w:t xml:space="preserve">septiembre de</w:t>
            </w:r>
          </w:p>
          <w:p w:rsidR="00000000" w:rsidDel="00000000" w:rsidP="00000000" w:rsidRDefault="00000000" w:rsidRPr="00000000" w14:paraId="0000000F">
            <w:pPr>
              <w:spacing w:after="60" w:before="60" w:lineRule="auto"/>
              <w:ind w:left="80" w:firstLine="0"/>
              <w:jc w:val="center"/>
              <w:rPr>
                <w:sz w:val="16"/>
                <w:szCs w:val="16"/>
              </w:rPr>
            </w:pPr>
            <w:r w:rsidDel="00000000" w:rsidR="00000000" w:rsidRPr="00000000">
              <w:rPr>
                <w:sz w:val="16"/>
                <w:szCs w:val="16"/>
                <w:rtl w:val="0"/>
              </w:rPr>
              <w:t xml:space="preserve">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0">
            <w:pPr>
              <w:spacing w:after="60" w:before="60" w:lineRule="auto"/>
              <w:ind w:left="80" w:firstLine="0"/>
              <w:jc w:val="center"/>
              <w:rPr>
                <w:sz w:val="16"/>
                <w:szCs w:val="16"/>
              </w:rPr>
            </w:pPr>
            <w:r w:rsidDel="00000000" w:rsidR="00000000" w:rsidRPr="00000000">
              <w:rPr>
                <w:sz w:val="16"/>
                <w:szCs w:val="16"/>
                <w:rtl w:val="0"/>
              </w:rPr>
              <w:t xml:space="preserve">1) Ingresos</w:t>
            </w:r>
          </w:p>
          <w:p w:rsidR="00000000" w:rsidDel="00000000" w:rsidP="00000000" w:rsidRDefault="00000000" w:rsidRPr="00000000" w14:paraId="00000011">
            <w:pPr>
              <w:spacing w:after="60" w:before="60" w:lineRule="auto"/>
              <w:ind w:left="80" w:firstLine="0"/>
              <w:jc w:val="center"/>
              <w:rPr>
                <w:sz w:val="16"/>
                <w:szCs w:val="16"/>
              </w:rPr>
            </w:pPr>
            <w:r w:rsidDel="00000000" w:rsidR="00000000" w:rsidRPr="00000000">
              <w:rPr>
                <w:sz w:val="16"/>
                <w:szCs w:val="16"/>
                <w:rtl w:val="0"/>
              </w:rPr>
              <w:t xml:space="preserve">octubre-diciembre 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2">
            <w:pPr>
              <w:spacing w:after="60" w:before="60" w:lineRule="auto"/>
              <w:ind w:left="80" w:firstLine="0"/>
              <w:jc w:val="center"/>
              <w:rPr>
                <w:sz w:val="16"/>
                <w:szCs w:val="16"/>
              </w:rPr>
            </w:pPr>
            <w:r w:rsidDel="00000000" w:rsidR="00000000" w:rsidRPr="00000000">
              <w:rPr>
                <w:sz w:val="16"/>
                <w:szCs w:val="16"/>
                <w:rtl w:val="0"/>
              </w:rPr>
              <w:t xml:space="preserve">Intereses</w:t>
            </w:r>
          </w:p>
          <w:p w:rsidR="00000000" w:rsidDel="00000000" w:rsidP="00000000" w:rsidRDefault="00000000" w:rsidRPr="00000000" w14:paraId="00000013">
            <w:pPr>
              <w:spacing w:after="60" w:before="60" w:lineRule="auto"/>
              <w:ind w:left="80" w:firstLine="0"/>
              <w:jc w:val="center"/>
              <w:rPr>
                <w:sz w:val="16"/>
                <w:szCs w:val="16"/>
              </w:rPr>
            </w:pPr>
            <w:r w:rsidDel="00000000" w:rsidR="00000000" w:rsidRPr="00000000">
              <w:rPr>
                <w:sz w:val="16"/>
                <w:szCs w:val="16"/>
                <w:rtl w:val="0"/>
              </w:rPr>
              <w:t xml:space="preserve">octubre-diciembre 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4">
            <w:pPr>
              <w:spacing w:after="60" w:before="60" w:lineRule="auto"/>
              <w:ind w:left="80" w:firstLine="0"/>
              <w:jc w:val="center"/>
              <w:rPr>
                <w:sz w:val="16"/>
                <w:szCs w:val="16"/>
              </w:rPr>
            </w:pPr>
            <w:r w:rsidDel="00000000" w:rsidR="00000000" w:rsidRPr="00000000">
              <w:rPr>
                <w:sz w:val="16"/>
                <w:szCs w:val="16"/>
                <w:rtl w:val="0"/>
              </w:rPr>
              <w:t xml:space="preserve">2) Egresos</w:t>
            </w:r>
          </w:p>
          <w:p w:rsidR="00000000" w:rsidDel="00000000" w:rsidP="00000000" w:rsidRDefault="00000000" w:rsidRPr="00000000" w14:paraId="00000015">
            <w:pPr>
              <w:spacing w:after="60" w:before="60" w:lineRule="auto"/>
              <w:ind w:left="80" w:firstLine="0"/>
              <w:jc w:val="center"/>
              <w:rPr>
                <w:sz w:val="16"/>
                <w:szCs w:val="16"/>
              </w:rPr>
            </w:pPr>
            <w:r w:rsidDel="00000000" w:rsidR="00000000" w:rsidRPr="00000000">
              <w:rPr>
                <w:sz w:val="16"/>
                <w:szCs w:val="16"/>
                <w:rtl w:val="0"/>
              </w:rPr>
              <w:t xml:space="preserve">octubre-diciembre 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6">
            <w:pPr>
              <w:spacing w:after="60" w:before="60" w:lineRule="auto"/>
              <w:ind w:left="80" w:firstLine="0"/>
              <w:jc w:val="center"/>
              <w:rPr>
                <w:sz w:val="16"/>
                <w:szCs w:val="16"/>
              </w:rPr>
            </w:pPr>
            <w:r w:rsidDel="00000000" w:rsidR="00000000" w:rsidRPr="00000000">
              <w:rPr>
                <w:sz w:val="16"/>
                <w:szCs w:val="16"/>
                <w:rtl w:val="0"/>
              </w:rPr>
              <w:t xml:space="preserve">Saldo patrimonial</w:t>
            </w:r>
          </w:p>
          <w:p w:rsidR="00000000" w:rsidDel="00000000" w:rsidP="00000000" w:rsidRDefault="00000000" w:rsidRPr="00000000" w14:paraId="00000017">
            <w:pPr>
              <w:spacing w:after="60" w:before="60" w:lineRule="auto"/>
              <w:ind w:left="80" w:firstLine="0"/>
              <w:jc w:val="center"/>
              <w:rPr>
                <w:sz w:val="16"/>
                <w:szCs w:val="16"/>
              </w:rPr>
            </w:pPr>
            <w:r w:rsidDel="00000000" w:rsidR="00000000" w:rsidRPr="00000000">
              <w:rPr>
                <w:sz w:val="16"/>
                <w:szCs w:val="16"/>
                <w:rtl w:val="0"/>
              </w:rPr>
              <w:t xml:space="preserve">al 31 de diciembre</w:t>
            </w:r>
          </w:p>
          <w:p w:rsidR="00000000" w:rsidDel="00000000" w:rsidP="00000000" w:rsidRDefault="00000000" w:rsidRPr="00000000" w14:paraId="00000018">
            <w:pPr>
              <w:spacing w:after="60" w:before="60" w:lineRule="auto"/>
              <w:ind w:left="80" w:firstLine="0"/>
              <w:jc w:val="center"/>
              <w:rPr>
                <w:sz w:val="16"/>
                <w:szCs w:val="16"/>
              </w:rPr>
            </w:pPr>
            <w:r w:rsidDel="00000000" w:rsidR="00000000" w:rsidRPr="00000000">
              <w:rPr>
                <w:sz w:val="16"/>
                <w:szCs w:val="16"/>
                <w:rtl w:val="0"/>
              </w:rPr>
              <w:t xml:space="preserve">de 2020</w:t>
            </w:r>
          </w:p>
        </w:tc>
      </w:tr>
      <w:tr>
        <w:trPr>
          <w:trHeight w:val="57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9">
            <w:pPr>
              <w:spacing w:after="60" w:before="60" w:lineRule="auto"/>
              <w:ind w:left="80" w:firstLine="0"/>
              <w:jc w:val="center"/>
              <w:rPr>
                <w:b w:val="1"/>
                <w:sz w:val="16"/>
                <w:szCs w:val="16"/>
              </w:rPr>
            </w:pPr>
            <w:r w:rsidDel="00000000" w:rsidR="00000000" w:rsidRPr="00000000">
              <w:rPr>
                <w:b w:val="1"/>
                <w:sz w:val="16"/>
                <w:szCs w:val="16"/>
                <w:rtl w:val="0"/>
              </w:rPr>
              <w:t xml:space="preserve">$4'328,457,298.91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A">
            <w:pPr>
              <w:spacing w:after="60" w:before="60" w:lineRule="auto"/>
              <w:ind w:left="80" w:firstLine="0"/>
              <w:jc w:val="center"/>
              <w:rPr>
                <w:b w:val="1"/>
                <w:sz w:val="16"/>
                <w:szCs w:val="16"/>
              </w:rPr>
            </w:pPr>
            <w:r w:rsidDel="00000000" w:rsidR="00000000" w:rsidRPr="00000000">
              <w:rPr>
                <w:b w:val="1"/>
                <w:sz w:val="16"/>
                <w:szCs w:val="16"/>
                <w:rtl w:val="0"/>
              </w:rPr>
              <w:t xml:space="preserve">$47'033,549.02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B">
            <w:pPr>
              <w:spacing w:after="60" w:before="60" w:lineRule="auto"/>
              <w:ind w:left="80" w:firstLine="0"/>
              <w:jc w:val="center"/>
              <w:rPr>
                <w:b w:val="1"/>
                <w:sz w:val="16"/>
                <w:szCs w:val="16"/>
              </w:rPr>
            </w:pPr>
            <w:r w:rsidDel="00000000" w:rsidR="00000000" w:rsidRPr="00000000">
              <w:rPr>
                <w:b w:val="1"/>
                <w:sz w:val="16"/>
                <w:szCs w:val="16"/>
                <w:rtl w:val="0"/>
              </w:rPr>
              <w:t xml:space="preserve">$56'434,009.52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C">
            <w:pPr>
              <w:spacing w:after="60" w:before="60" w:lineRule="auto"/>
              <w:ind w:left="80" w:firstLine="0"/>
              <w:jc w:val="center"/>
              <w:rPr>
                <w:b w:val="1"/>
                <w:sz w:val="16"/>
                <w:szCs w:val="16"/>
              </w:rPr>
            </w:pPr>
            <w:r w:rsidDel="00000000" w:rsidR="00000000" w:rsidRPr="00000000">
              <w:rPr>
                <w:b w:val="1"/>
                <w:sz w:val="16"/>
                <w:szCs w:val="16"/>
                <w:rtl w:val="0"/>
              </w:rPr>
              <w:t xml:space="preserve">$5'735,632.58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D">
            <w:pPr>
              <w:spacing w:after="60" w:before="60" w:lineRule="auto"/>
              <w:ind w:left="80" w:firstLine="0"/>
              <w:jc w:val="center"/>
              <w:rPr>
                <w:b w:val="1"/>
                <w:sz w:val="16"/>
                <w:szCs w:val="16"/>
              </w:rPr>
            </w:pPr>
            <w:r w:rsidDel="00000000" w:rsidR="00000000" w:rsidRPr="00000000">
              <w:rPr>
                <w:b w:val="1"/>
                <w:sz w:val="16"/>
                <w:szCs w:val="16"/>
                <w:rtl w:val="0"/>
              </w:rPr>
              <w:t xml:space="preserve">$4'426,189,224.87</w:t>
            </w:r>
          </w:p>
        </w:tc>
      </w:tr>
      <w:tr>
        <w:trPr>
          <w:trHeight w:val="3005" w:hRule="atLeast"/>
        </w:trPr>
        <w:tc>
          <w:tcPr>
            <w:gridSpan w:val="5"/>
            <w:tcBorders>
              <w:top w:color="000000" w:space="0" w:sz="6" w:val="single"/>
              <w:left w:color="000000" w:space="0" w:sz="0" w:val="nil"/>
              <w:bottom w:color="000000" w:space="0" w:sz="0" w:val="nil"/>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1E">
            <w:pPr>
              <w:spacing w:after="60" w:before="100" w:lineRule="auto"/>
              <w:ind w:left="1240" w:hanging="440"/>
              <w:jc w:val="both"/>
              <w:rPr>
                <w:i w:val="1"/>
                <w:sz w:val="16"/>
                <w:szCs w:val="16"/>
              </w:rPr>
            </w:pPr>
            <w:r w:rsidDel="00000000" w:rsidR="00000000" w:rsidRPr="00000000">
              <w:rPr>
                <w:sz w:val="16"/>
                <w:szCs w:val="16"/>
                <w:rtl w:val="0"/>
              </w:rPr>
              <w:t xml:space="preserve">1)</w:t>
            </w:r>
            <w:r w:rsidDel="00000000" w:rsidR="00000000" w:rsidRPr="00000000">
              <w:rPr>
                <w:sz w:val="20"/>
                <w:szCs w:val="20"/>
                <w:rtl w:val="0"/>
              </w:rPr>
              <w:t xml:space="preserve">     </w:t>
            </w:r>
            <w:r w:rsidDel="00000000" w:rsidR="00000000" w:rsidRPr="00000000">
              <w:rPr>
                <w:sz w:val="16"/>
                <w:szCs w:val="16"/>
                <w:rtl w:val="0"/>
              </w:rPr>
              <w:t xml:space="preserve">"Los recursos a que se refiere la tabla anterior son los generados en el período del 1 de octubre al 31 de diciembre de 2020, de conformidad con los artículos 243 y 244 de la Ley Orgánica del Poder Judicial de la Federación. No incluyen los recursos fiscales autorizados al Consejo de la Judicatura Federal en el Presupuesto de Egresos de la Federación, tal y como lo señala el artículo 244 en el citado ordenamiento que a la letra dice: </w:t>
            </w:r>
            <w:r w:rsidDel="00000000" w:rsidR="00000000" w:rsidRPr="00000000">
              <w:rPr>
                <w:i w:val="1"/>
                <w:sz w:val="16"/>
                <w:szCs w:val="16"/>
                <w:rtl w:val="0"/>
              </w:rPr>
              <w:t xml:space="preserve">"Los recursos con los que se integre y opere el Fondo serán diferentes de aquellos que comprenda el presupuesto anual aprobado a favor del Poder Judicial de la Federación, y no afectarán las partidas que sean autorizadas mediante dicho presupuesto"".</w:t>
            </w:r>
          </w:p>
          <w:p w:rsidR="00000000" w:rsidDel="00000000" w:rsidP="00000000" w:rsidRDefault="00000000" w:rsidRPr="00000000" w14:paraId="0000001F">
            <w:pPr>
              <w:spacing w:after="60" w:before="60" w:lineRule="auto"/>
              <w:ind w:left="1240" w:hanging="440"/>
              <w:jc w:val="both"/>
              <w:rPr>
                <w:sz w:val="16"/>
                <w:szCs w:val="16"/>
              </w:rPr>
            </w:pPr>
            <w:r w:rsidDel="00000000" w:rsidR="00000000" w:rsidRPr="00000000">
              <w:rPr>
                <w:sz w:val="16"/>
                <w:szCs w:val="16"/>
                <w:rtl w:val="0"/>
              </w:rPr>
              <w:t xml:space="preserve">2)</w:t>
            </w:r>
            <w:r w:rsidDel="00000000" w:rsidR="00000000" w:rsidRPr="00000000">
              <w:rPr>
                <w:sz w:val="20"/>
                <w:szCs w:val="20"/>
                <w:rtl w:val="0"/>
              </w:rPr>
              <w:t xml:space="preserve">     </w:t>
            </w:r>
            <w:r w:rsidDel="00000000" w:rsidR="00000000" w:rsidRPr="00000000">
              <w:rPr>
                <w:sz w:val="16"/>
                <w:szCs w:val="16"/>
                <w:rtl w:val="0"/>
              </w:rPr>
              <w:t xml:space="preserve">"El importe de los egresos incluyen los gastos de administración del Fondo, así como los apoyos otorgados en cumplimiento a los fines para los cuales se constituyó el propio Fondo durante el período del 1 de octubre al 31 de diciembre de 2020".</w:t>
            </w:r>
          </w:p>
        </w:tc>
      </w:tr>
    </w:tbl>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5">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w:t>
      </w:r>
    </w:p>
    <w:p w:rsidR="00000000" w:rsidDel="00000000" w:rsidP="00000000" w:rsidRDefault="00000000" w:rsidRPr="00000000" w14:paraId="0000002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ÚNICO.- </w:t>
      </w:r>
      <w:r w:rsidDel="00000000" w:rsidR="00000000" w:rsidRPr="00000000">
        <w:rPr>
          <w:color w:val="2f2f2f"/>
          <w:sz w:val="18"/>
          <w:szCs w:val="18"/>
          <w:rtl w:val="0"/>
        </w:rPr>
        <w:t xml:space="preserve">Infórmese a la Entidad de Fiscalización Superior de la Federación y publíquese este documento en el Diario Oficial de la Federación.</w:t>
      </w:r>
    </w:p>
    <w:p w:rsidR="00000000" w:rsidDel="00000000" w:rsidP="00000000" w:rsidRDefault="00000000" w:rsidRPr="00000000" w14:paraId="0000002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2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15 de enero de 2021.- La Secretaria Técnica del Fondo de Apoyo a la Administración de Justicia, </w:t>
      </w:r>
      <w:r w:rsidDel="00000000" w:rsidR="00000000" w:rsidRPr="00000000">
        <w:rPr>
          <w:b w:val="1"/>
          <w:color w:val="2f2f2f"/>
          <w:sz w:val="18"/>
          <w:szCs w:val="18"/>
          <w:rtl w:val="0"/>
        </w:rPr>
        <w:t xml:space="preserve">María Teresa Adriana Hermoso y Núñez</w:t>
      </w:r>
      <w:r w:rsidDel="00000000" w:rsidR="00000000" w:rsidRPr="00000000">
        <w:rPr>
          <w:color w:val="2f2f2f"/>
          <w:sz w:val="18"/>
          <w:szCs w:val="18"/>
          <w:rtl w:val="0"/>
        </w:rPr>
        <w:t xml:space="preserve">.- Rúbrica.</w:t>
      </w:r>
    </w:p>
    <w:p w:rsidR="00000000" w:rsidDel="00000000" w:rsidP="00000000" w:rsidRDefault="00000000" w:rsidRPr="00000000" w14:paraId="0000002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