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determinan los montos mínimos respecto de los cuales no se aplicará lo dispuesto en el Capítulo Único del Título Sexto del Código Fiscal de la Federación, denominado De la Revelación de Esquemas Reportables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 de febrero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w:t>
      </w:r>
    </w:p>
    <w:p w:rsidR="00000000" w:rsidDel="00000000" w:rsidP="00000000" w:rsidRDefault="00000000" w:rsidRPr="00000000" w14:paraId="0000000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13/2021</w:t>
      </w:r>
    </w:p>
    <w:p w:rsidR="00000000" w:rsidDel="00000000" w:rsidP="00000000" w:rsidRDefault="00000000" w:rsidRPr="00000000" w14:paraId="0000000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Acuerdo por el que se determinan los montos mínimos respecto de los cuales no se aplicará lo dispuesto en el Capítulo Único del Título Sexto del Código Fiscal de la Federación, denominado "De la Revelación de Esquemas Reportables".</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ARTURO HERRERA GUTIÉRREZ, Secretario de Hacienda y Crédito Público con fundamento en los artículos 31, fracción XXXII de la Ley Orgánica de la Administración Pública Federal; 199, cuarto párrafo del Código Fiscal de la Federación y, 4o del Reglamento Interior de la Secretaría de Hacienda y Crédito Público, y</w:t>
      </w:r>
    </w:p>
    <w:p w:rsidR="00000000" w:rsidDel="00000000" w:rsidP="00000000" w:rsidRDefault="00000000" w:rsidRPr="00000000" w14:paraId="0000000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9 de diciembre de 2019 se publicó en el Diario Oficial de la Federación el "Decreto por el que se reforman, adicionan y derogan diversas disposiciones de la Ley del Impuesto sobre la Renta, de la Ley del Impuesto al Valor Agregado, de la Ley del Impuesto Especial sobre Producción y Servicios y del Código Fiscal de la Federación" (Decreto), a través del cual se adicionó el Título Sexto denominado "De la Revelación de Esquemas Reportables", con un Capítulo Único que comprende de los artículos 197 a 202 del Código Fiscal de la Federación;</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Artículo Octavo, fracción II de las Disposiciones Transitorias del Código Fiscal de la Federación del Decreto, establece que los plazos previstos para cumplir con las obligaciones a que se refieren los artículos 197 a 202 del Código Fiscal de la Federación, empezarán a computarse a partir del 1o. de enero de 2021;</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artículo 199, segundo párrafo del Código Fiscal de la Federación, establece que se considera esquema, cualquier plan, proyecto, propuesta, asesoría, instrucción o recomendación externada de forma expresa o tácita con el objeto de materializar una serie de actos jurídicos, y no se considera un esquema, la realización de un trámite ante la autoridad o la defensa del contribuyente en controversias fiscales;</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artículo 199, tercer párrafo del Código Fiscal de la Federación, establece la definición de esquemas reportables generalizados y esquemas reportables personalizados, en ese sentido, los esquemas reportables generalizados deberán estar siempre sujetos a la obligación prevista en el Capítulo Único del Título Sexto del Código Fiscal de la Federación, denominado "De la Revelación de Esquemas Reportables", porque se tratan de esquemas que al buscar comercializarse de manera masiva, serán siempre de interés de la administración fiscal; mientras que en el caso de esquemas reportables personalizados, al estar adaptados a las circunstancias particulares de contribuyentes específicos, es viable establecer montos mínimos para aplicar lo dispuesto en dicho Capitulo;</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artículo 199, cuarto párrafo del Código Fiscal de la Federación, faculta a la Secretaría de Hacienda y Crédito para que mediante acuerdo emita los parámetros sobre montos mínimos respecto de los cuales no se aplicará lo dispuesto en el Capítulo Único del Título Sexto del Código Fiscal de la Federación, denominado "De la Revelación de Esquemas Reportables";</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artículo 199, quinto párrafo del Código Fiscal de la Federación, establece que se considera beneficio fiscal el valor monetario derivado de cualquiera de los supuestos señalados en el quinto párrafo del artículo 5o.-A de dicho ordenamiento;</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artículo 5o.-A, quinto párrafo del Código Fiscal de la Federación, establece que se consideran beneficios fiscales cualquier reducción, eliminación o diferimiento temporal de una contribución, incluyendo los alcanzados a través de deducciones, exenciones, no sujeciones, no reconocimiento de una ganancia o ingreso acumulable, ajustes o ausencia de ajustes de la base imponible de la contribución, el acreditamiento de contribuciones, la recaracterización de un pago o actividad, un cambio de régimen, entre otros. En ese sentido, el beneficio fiscal de un esquema reportable que se traduce en el valor monetario de cualquiera de los supuestos mencionados, debe considerar el beneficio total del esquema, es decir, el monto agregado del beneficio fiscal obtenido o que se espere obtener en México por cualquiera de los contribuyentes involucrados en el esquema reportable, independientemente del ejercicio en que se obtenga o se espere obtener;</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con el fin de lograr los objetivos del Capítulo Único del Título Sexto del Código Fiscal de la Federación, denominado "De la Revelación de Esquemas Reportables", también se deben considerar los casos en los que se apliquen en forma conjunta diversos esquemas reportables personalizados para efectos de determinar el beneficio fiscal obtenido o que se espere obtener en México; lo anterior, a efecto de evitar la fragmentación de esquemas reportables y cualquier abuso que pudiera generarse haciendo uso de los montos mínimos respecto de los cuales no se aplicará lo dispuesto en dicho Capítulo;</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con base en lo anterior, se dan a conocer los parámetros sobre los montos mínimos respecto de los cuales no se aplicará lo dispuesto en el Capítulo Único del Título Sexto del Código Fiscal de la Federación, denominado "De la Revelación de Esquemas Reportables", mediante el siguiente:</w:t>
      </w:r>
    </w:p>
    <w:p w:rsidR="00000000" w:rsidDel="00000000" w:rsidP="00000000" w:rsidRDefault="00000000" w:rsidRPr="00000000" w14:paraId="00000012">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No serán aplicables las disposiciones previstas en el Capítulo Único del Título Sexto del Código Fiscal de la Federación, denominado "De la Revelación de Esquemas Reportables", a los asesores fiscales o contribuyentes respecto de los esquemas reportables a que se refieren las fracciones II a XIV del artículo 199 del Código Fiscal de la Federación, siempre que se trate de esquemas reportables personalizados, y el monto agregado del beneficio fiscal obtenido o que se espere obtener en México, no exceda de 100 millones de pesos.</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exista más de un esquema reportable de los previstos en las fracciones I a XIV del artículo 199 del Código Fiscal de la Federación que involucre o espere involucrar a un mismo contribuyente, implementado o que se pretenda implementar en al menos un ejercicio fiscal en común, y siempre que se trate de esquemas reportables personalizados, para determinar la cantidad de 100 millones de pesos prevista en el párrafo anterior, se deberá considerar el monto agregado del beneficio fiscal obtenido o que se espere obtener en México a través de la totalidad de los esquemas reportables personalizados mencionados.</w:t>
      </w:r>
    </w:p>
    <w:p w:rsidR="00000000" w:rsidDel="00000000" w:rsidP="00000000" w:rsidRDefault="00000000" w:rsidRPr="00000000" w14:paraId="0000001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El presente Acuerdo entrará en vigor al día siguiente de su publicación en el Diario Oficial de la Federación.</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26 de enero de 2021.- En ausencia del Secretario de Hacienda y Crédito Público, con fundamento en el artículo 105, primer párrafo del Reglamento Interior de esta Secretaría, el Subsecretario de Hacienda y Crédito Público, </w:t>
      </w:r>
      <w:r w:rsidDel="00000000" w:rsidR="00000000" w:rsidRPr="00000000">
        <w:rPr>
          <w:b w:val="1"/>
          <w:color w:val="2f2f2f"/>
          <w:sz w:val="18"/>
          <w:szCs w:val="18"/>
          <w:rtl w:val="0"/>
        </w:rPr>
        <w:t xml:space="preserve">Gabriel Yorio González</w:t>
      </w:r>
      <w:r w:rsidDel="00000000" w:rsidR="00000000" w:rsidRPr="00000000">
        <w:rPr>
          <w:color w:val="2f2f2f"/>
          <w:sz w:val="18"/>
          <w:szCs w:val="18"/>
          <w:rtl w:val="0"/>
        </w:rPr>
        <w:t xml:space="preserve">.- Rúbrica.</w:t>
      </w:r>
    </w:p>
    <w:p w:rsidR="00000000" w:rsidDel="00000000" w:rsidP="00000000" w:rsidRDefault="00000000" w:rsidRPr="00000000" w14:paraId="00000019">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