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F5" w:rsidRDefault="001632F5" w:rsidP="00F04244">
      <w:pPr>
        <w:jc w:val="center"/>
        <w:rPr>
          <w:rFonts w:ascii="Verdana" w:hAnsi="Verdana"/>
          <w:b/>
          <w:color w:val="0070C0"/>
          <w:sz w:val="24"/>
        </w:rPr>
      </w:pPr>
      <w:r w:rsidRPr="001632F5">
        <w:rPr>
          <w:rFonts w:ascii="Verdana" w:hAnsi="Verdana"/>
          <w:b/>
          <w:color w:val="0070C0"/>
          <w:sz w:val="24"/>
        </w:rPr>
        <w:t>Decreto por el que se reforma el artí</w:t>
      </w:r>
      <w:r>
        <w:rPr>
          <w:rFonts w:ascii="Verdana" w:hAnsi="Verdana"/>
          <w:b/>
          <w:color w:val="0070C0"/>
          <w:sz w:val="24"/>
        </w:rPr>
        <w:t>culo 177, párrafo tercero, del Código Fiscal del Distrito F</w:t>
      </w:r>
      <w:r w:rsidRPr="001632F5">
        <w:rPr>
          <w:rFonts w:ascii="Verdana" w:hAnsi="Verdana"/>
          <w:b/>
          <w:color w:val="0070C0"/>
          <w:sz w:val="24"/>
        </w:rPr>
        <w:t>ederal</w:t>
      </w:r>
    </w:p>
    <w:p w:rsidR="00F04244" w:rsidRDefault="001632F5" w:rsidP="00F04244">
      <w:pPr>
        <w:jc w:val="center"/>
        <w:rPr>
          <w:rFonts w:ascii="Verdana" w:hAnsi="Verdana"/>
          <w:b/>
          <w:color w:val="0070C0"/>
          <w:sz w:val="24"/>
        </w:rPr>
      </w:pPr>
      <w:r w:rsidRPr="001632F5">
        <w:rPr>
          <w:rFonts w:ascii="Verdana" w:hAnsi="Verdana"/>
          <w:b/>
          <w:color w:val="0070C0"/>
          <w:sz w:val="24"/>
        </w:rPr>
        <w:t xml:space="preserve"> </w:t>
      </w:r>
      <w:r w:rsidR="00F04244">
        <w:rPr>
          <w:rFonts w:ascii="Verdana" w:hAnsi="Verdana"/>
          <w:b/>
          <w:color w:val="0070C0"/>
          <w:sz w:val="24"/>
        </w:rPr>
        <w:t>(Gaceta de la Ciudad de México del 31 de diciembre de 2018)</w:t>
      </w:r>
    </w:p>
    <w:p w:rsidR="00F04244" w:rsidRDefault="00F04244" w:rsidP="00F04244">
      <w:pPr>
        <w:jc w:val="both"/>
        <w:rPr>
          <w:rFonts w:ascii="Verdana" w:hAnsi="Verdana"/>
          <w:sz w:val="20"/>
        </w:rPr>
      </w:pPr>
    </w:p>
    <w:p w:rsidR="000C7C95" w:rsidRDefault="001632F5" w:rsidP="00F04244">
      <w:pPr>
        <w:jc w:val="both"/>
        <w:rPr>
          <w:rFonts w:ascii="Verdana" w:hAnsi="Verdana"/>
          <w:sz w:val="20"/>
        </w:rPr>
      </w:pPr>
      <w:r w:rsidRPr="001632F5">
        <w:rPr>
          <w:rFonts w:ascii="Verdana" w:hAnsi="Verdana"/>
          <w:sz w:val="20"/>
        </w:rPr>
        <w:t xml:space="preserve">DRA. CLAUDIA SHEINBAUM PARDO, Jefa de Gobierno de la Ciudad de México, a sus habitantes sabed. Que el H. Congreso de la Ciudad de México I Legislatura, se ha servido dirigirme el siguiente: </w:t>
      </w:r>
    </w:p>
    <w:p w:rsidR="000C7C95" w:rsidRDefault="001632F5" w:rsidP="00F04244">
      <w:pPr>
        <w:jc w:val="both"/>
        <w:rPr>
          <w:rFonts w:ascii="Verdana" w:hAnsi="Verdana"/>
          <w:sz w:val="20"/>
        </w:rPr>
      </w:pPr>
      <w:r w:rsidRPr="001632F5">
        <w:rPr>
          <w:rFonts w:ascii="Verdana" w:hAnsi="Verdana"/>
          <w:sz w:val="20"/>
        </w:rPr>
        <w:t xml:space="preserve">D E C R E T O Congreso de la Ciudad de México I Legislatura EL CONGRESO DE LA CIUDAD DE MÉXICO, DECRETA: POR EL QUE SE REFORMA EL ARTICULO 177, PÁRRAFO TERCERO, DEL CÓDIGO FISCAL DEL DISTRITO FEDERAL. </w:t>
      </w:r>
    </w:p>
    <w:p w:rsidR="000C7C95" w:rsidRDefault="001632F5" w:rsidP="00F04244">
      <w:pPr>
        <w:jc w:val="both"/>
        <w:rPr>
          <w:rFonts w:ascii="Verdana" w:hAnsi="Verdana"/>
          <w:sz w:val="20"/>
        </w:rPr>
      </w:pPr>
      <w:r w:rsidRPr="001632F5">
        <w:rPr>
          <w:rFonts w:ascii="Verdana" w:hAnsi="Verdana"/>
          <w:sz w:val="20"/>
        </w:rPr>
        <w:t xml:space="preserve">Único: Se reforma el artículo 177, párrafo tercero, del Código Fiscal del Distrito Federal. </w:t>
      </w:r>
    </w:p>
    <w:p w:rsidR="000C7C95" w:rsidRDefault="001632F5" w:rsidP="00F04244">
      <w:pPr>
        <w:jc w:val="both"/>
        <w:rPr>
          <w:rFonts w:ascii="Verdana" w:hAnsi="Verdana"/>
          <w:sz w:val="20"/>
        </w:rPr>
      </w:pPr>
      <w:r w:rsidRPr="001632F5">
        <w:rPr>
          <w:rFonts w:ascii="Verdana" w:hAnsi="Verdana"/>
          <w:sz w:val="20"/>
        </w:rPr>
        <w:t>CÓDIGO FISCAL DEL DISTRITO FEDERAL</w:t>
      </w:r>
    </w:p>
    <w:p w:rsidR="000C7C95" w:rsidRDefault="001632F5" w:rsidP="00F04244">
      <w:pPr>
        <w:jc w:val="both"/>
        <w:rPr>
          <w:rFonts w:ascii="Verdana" w:hAnsi="Verdana"/>
          <w:sz w:val="20"/>
        </w:rPr>
      </w:pPr>
      <w:r w:rsidRPr="001632F5">
        <w:rPr>
          <w:rFonts w:ascii="Verdana" w:hAnsi="Verdana"/>
          <w:sz w:val="20"/>
        </w:rPr>
        <w:t xml:space="preserve">Artículo 177.- </w:t>
      </w:r>
    </w:p>
    <w:p w:rsidR="000C7C95" w:rsidRDefault="001632F5" w:rsidP="00F04244">
      <w:pPr>
        <w:jc w:val="both"/>
        <w:rPr>
          <w:rFonts w:ascii="Verdana" w:hAnsi="Verdana"/>
          <w:sz w:val="20"/>
        </w:rPr>
      </w:pPr>
      <w:r w:rsidRPr="001632F5">
        <w:rPr>
          <w:rFonts w:ascii="Verdana" w:hAnsi="Verdana"/>
          <w:sz w:val="20"/>
        </w:rPr>
        <w:t xml:space="preserve">… </w:t>
      </w:r>
    </w:p>
    <w:p w:rsidR="000C7C95" w:rsidRDefault="001632F5" w:rsidP="00F04244">
      <w:pPr>
        <w:jc w:val="both"/>
        <w:rPr>
          <w:rFonts w:ascii="Verdana" w:hAnsi="Verdana"/>
          <w:sz w:val="20"/>
        </w:rPr>
      </w:pPr>
      <w:r w:rsidRPr="001632F5">
        <w:rPr>
          <w:rFonts w:ascii="Verdana" w:hAnsi="Verdana"/>
          <w:sz w:val="20"/>
        </w:rPr>
        <w:t xml:space="preserve">… </w:t>
      </w:r>
    </w:p>
    <w:p w:rsidR="000C7C95" w:rsidRDefault="001632F5" w:rsidP="00F04244">
      <w:pPr>
        <w:jc w:val="both"/>
        <w:rPr>
          <w:rFonts w:ascii="Verdana" w:hAnsi="Verdana"/>
          <w:sz w:val="20"/>
        </w:rPr>
      </w:pPr>
      <w:r w:rsidRPr="001632F5">
        <w:rPr>
          <w:rFonts w:ascii="Verdana" w:hAnsi="Verdana"/>
          <w:sz w:val="20"/>
        </w:rPr>
        <w:t xml:space="preserve">En el caso de los usuarios con uso doméstico y usuarios con uso doméstico y uso doméstico y no doméstico simultáneamente, el Sistema de Aguas solo podrá restringir el suministro a la cantidad necesaria para satisfacer los requerimientos básicos de consumo humano diario de cada persona habitante de la vivienda; siempre y cuando, subsista el adeudo y se acredite la negativa del usuario a suscribir el convenio de pago o el incumplimiento del mismo. Para estos efectos deberá mediar notificación en términos de lo dispuesto por el artículo 437 de este Código. Se considera suministro mínimo indispensable para garantizar el derecho humano al agua la cantidad de 50 litros por persona al día. … </w:t>
      </w:r>
    </w:p>
    <w:p w:rsidR="000C7C95" w:rsidRDefault="001632F5" w:rsidP="00F04244">
      <w:pPr>
        <w:jc w:val="both"/>
        <w:rPr>
          <w:rFonts w:ascii="Verdana" w:hAnsi="Verdana"/>
          <w:sz w:val="20"/>
        </w:rPr>
      </w:pPr>
      <w:r w:rsidRPr="001632F5">
        <w:rPr>
          <w:rFonts w:ascii="Verdana" w:hAnsi="Verdana"/>
          <w:sz w:val="20"/>
        </w:rPr>
        <w:t xml:space="preserve">… </w:t>
      </w:r>
    </w:p>
    <w:p w:rsidR="000C7C95" w:rsidRDefault="001632F5" w:rsidP="00F04244">
      <w:pPr>
        <w:jc w:val="both"/>
        <w:rPr>
          <w:rFonts w:ascii="Verdana" w:hAnsi="Verdana"/>
          <w:sz w:val="20"/>
        </w:rPr>
      </w:pPr>
      <w:r w:rsidRPr="001632F5">
        <w:rPr>
          <w:rFonts w:ascii="Verdana" w:hAnsi="Verdana"/>
          <w:sz w:val="20"/>
        </w:rPr>
        <w:t xml:space="preserve">… </w:t>
      </w:r>
    </w:p>
    <w:p w:rsidR="000C7C95" w:rsidRDefault="001632F5" w:rsidP="00F04244">
      <w:pPr>
        <w:jc w:val="both"/>
        <w:rPr>
          <w:rFonts w:ascii="Verdana" w:hAnsi="Verdana"/>
          <w:sz w:val="20"/>
        </w:rPr>
      </w:pPr>
      <w:r w:rsidRPr="001632F5">
        <w:rPr>
          <w:rFonts w:ascii="Verdana" w:hAnsi="Verdana"/>
          <w:sz w:val="20"/>
        </w:rPr>
        <w:t xml:space="preserve">… </w:t>
      </w:r>
    </w:p>
    <w:p w:rsidR="000C7C95" w:rsidRDefault="001632F5" w:rsidP="00F04244">
      <w:pPr>
        <w:jc w:val="both"/>
        <w:rPr>
          <w:rFonts w:ascii="Verdana" w:hAnsi="Verdana"/>
          <w:sz w:val="20"/>
        </w:rPr>
      </w:pPr>
      <w:r w:rsidRPr="001632F5">
        <w:rPr>
          <w:rFonts w:ascii="Verdana" w:hAnsi="Verdana"/>
          <w:sz w:val="20"/>
        </w:rPr>
        <w:t xml:space="preserve">… </w:t>
      </w:r>
    </w:p>
    <w:p w:rsidR="000C7C95" w:rsidRDefault="001632F5" w:rsidP="00F04244">
      <w:pPr>
        <w:jc w:val="both"/>
        <w:rPr>
          <w:rFonts w:ascii="Verdana" w:hAnsi="Verdana"/>
          <w:sz w:val="20"/>
        </w:rPr>
      </w:pPr>
      <w:r w:rsidRPr="001632F5">
        <w:rPr>
          <w:rFonts w:ascii="Verdana" w:hAnsi="Verdana"/>
          <w:sz w:val="20"/>
        </w:rPr>
        <w:t xml:space="preserve">… </w:t>
      </w:r>
    </w:p>
    <w:p w:rsidR="000C7C95" w:rsidRDefault="001632F5" w:rsidP="00F04244">
      <w:pPr>
        <w:jc w:val="both"/>
        <w:rPr>
          <w:rFonts w:ascii="Verdana" w:hAnsi="Verdana"/>
          <w:sz w:val="20"/>
        </w:rPr>
      </w:pPr>
      <w:r w:rsidRPr="001632F5">
        <w:rPr>
          <w:rFonts w:ascii="Verdana" w:hAnsi="Verdana"/>
          <w:sz w:val="20"/>
        </w:rPr>
        <w:t xml:space="preserve">… </w:t>
      </w:r>
    </w:p>
    <w:p w:rsidR="000C7C95" w:rsidRDefault="001632F5" w:rsidP="00F04244">
      <w:pPr>
        <w:jc w:val="both"/>
        <w:rPr>
          <w:rFonts w:ascii="Verdana" w:hAnsi="Verdana"/>
          <w:sz w:val="20"/>
        </w:rPr>
      </w:pPr>
      <w:r w:rsidRPr="001632F5">
        <w:rPr>
          <w:rFonts w:ascii="Verdana" w:hAnsi="Verdana"/>
          <w:sz w:val="20"/>
        </w:rPr>
        <w:t xml:space="preserve">… </w:t>
      </w:r>
    </w:p>
    <w:p w:rsidR="000C7C95" w:rsidRDefault="001632F5" w:rsidP="00F04244">
      <w:pPr>
        <w:jc w:val="both"/>
        <w:rPr>
          <w:rFonts w:ascii="Verdana" w:hAnsi="Verdana"/>
          <w:sz w:val="20"/>
        </w:rPr>
      </w:pPr>
      <w:r w:rsidRPr="001632F5">
        <w:rPr>
          <w:rFonts w:ascii="Verdana" w:hAnsi="Verdana"/>
          <w:sz w:val="20"/>
        </w:rPr>
        <w:t xml:space="preserve">… </w:t>
      </w:r>
    </w:p>
    <w:p w:rsidR="000C7C95" w:rsidRDefault="001632F5" w:rsidP="00F04244">
      <w:pPr>
        <w:jc w:val="both"/>
        <w:rPr>
          <w:rFonts w:ascii="Verdana" w:hAnsi="Verdana"/>
          <w:sz w:val="20"/>
        </w:rPr>
      </w:pPr>
      <w:r w:rsidRPr="001632F5">
        <w:rPr>
          <w:rFonts w:ascii="Verdana" w:hAnsi="Verdana"/>
          <w:sz w:val="20"/>
        </w:rPr>
        <w:lastRenderedPageBreak/>
        <w:t>TRANSITORIOS PRIMERO.- Remítase a la Jefa de Gobierno el siguiente decreto para su publicación en la Gaceta Oficial de la Ciudad de México, y en el Diario Oficial de la Federación para su mayor difusión; y</w:t>
      </w:r>
    </w:p>
    <w:p w:rsidR="000C7C95" w:rsidRDefault="001632F5" w:rsidP="00F04244">
      <w:pPr>
        <w:jc w:val="both"/>
        <w:rPr>
          <w:rFonts w:ascii="Verdana" w:hAnsi="Verdana"/>
          <w:sz w:val="20"/>
        </w:rPr>
      </w:pPr>
      <w:r w:rsidRPr="001632F5">
        <w:rPr>
          <w:rFonts w:ascii="Verdana" w:hAnsi="Verdana"/>
          <w:sz w:val="20"/>
        </w:rPr>
        <w:t xml:space="preserve"> SEGUNDO.- El presente decreto entrará en vigor el día siguiente de su publicación en la Gaceta Oficial de la Ciudad de México </w:t>
      </w:r>
    </w:p>
    <w:p w:rsidR="001632F5" w:rsidRPr="00F04244" w:rsidRDefault="001632F5" w:rsidP="00F04244">
      <w:pPr>
        <w:jc w:val="both"/>
        <w:rPr>
          <w:rFonts w:ascii="Verdana" w:hAnsi="Verdana"/>
          <w:sz w:val="20"/>
        </w:rPr>
      </w:pPr>
      <w:bookmarkStart w:id="0" w:name="_GoBack"/>
      <w:bookmarkEnd w:id="0"/>
      <w:r w:rsidRPr="001632F5">
        <w:rPr>
          <w:rFonts w:ascii="Verdana" w:hAnsi="Verdana"/>
          <w:sz w:val="20"/>
        </w:rPr>
        <w:t xml:space="preserve"> Palacio Legislativo del Congreso de la Ciudad de México, a los veinte días del mes de diciembre del año dos mil dieciocho.- POR LA MESA DIRECTIVA.- DIPUTADO JOSÉ DE JESÚS MARTÍN DEL CAMPO CASTAÑEDA, PRESIDENTE.- DIPUTADA ISABELA ROSALES HERRERA, SECRETARIA.- DIPUTADA ANA PATRICIA BAEZ GUERRERO, SECRETARIA.- (Firmas) Con fundamento en lo dispuesto por los artículos 122, Apartado A, fracción III, de la Constitución Política de los Estados Unidos Mexicanos; 32 apartado C, numeral 1, inciso a) de la Constitución Política de la Ciudad de México; 2 fracciones XVII y XVIII, 6, 9 fracción I y 20, párrafo primero, de la Ley Orgánica del Poder Ejecutivo y de la Administración Pública de la Ciudad de México; para su debida publicación y observancia, expido el presente Decreto </w:t>
      </w:r>
      <w:proofErr w:type="spellStart"/>
      <w:r w:rsidRPr="001632F5">
        <w:rPr>
          <w:rFonts w:ascii="Verdana" w:hAnsi="Verdana"/>
          <w:sz w:val="20"/>
        </w:rPr>
        <w:t>Promulgatorio</w:t>
      </w:r>
      <w:proofErr w:type="spellEnd"/>
      <w:r w:rsidRPr="001632F5">
        <w:rPr>
          <w:rFonts w:ascii="Verdana" w:hAnsi="Verdana"/>
          <w:sz w:val="20"/>
        </w:rPr>
        <w:t xml:space="preserve"> en la Residencia Oficial de la Jefatura de Gobierno de la Ciudad de México, a los veintiocho días del mes de diciembre del año dos mil dieciocho.- LA JEFA DE GOBIERNO DE LA CIUDAD DE MÉXICO, DRA. CLAUDIA SHEINBAUM PARDO.- FIRMA.- LA SECRETARIA DE GOBIERNO, ROSA ICELA RODRÍGUEZ VELÁZQUEZ.- FIRMA.- LA SECRETARIA DEL MEDIO AMBIENTE, MARINA ROBLES GARCÍA.- FIRMA.- LA SECRETARIA DE ADMINISTRACIÓN Y FINANZAS, LUZ ELENA GONZÁLEZ ESCOBAR.- FIRMA.</w:t>
      </w:r>
    </w:p>
    <w:sectPr w:rsidR="001632F5" w:rsidRPr="00F042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44"/>
    <w:rsid w:val="000C7C95"/>
    <w:rsid w:val="001632F5"/>
    <w:rsid w:val="001E617A"/>
    <w:rsid w:val="002228FA"/>
    <w:rsid w:val="00C06CE1"/>
    <w:rsid w:val="00F042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2019-01-07T23:22:00Z</dcterms:created>
  <dcterms:modified xsi:type="dcterms:W3CDTF">2019-01-07T23:22:00Z</dcterms:modified>
</cp:coreProperties>
</file>