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actualizan para el año dos mil veintiuno, los montos de las operaciones y multas previstas en la Ley Federal de Protección al Consumidor</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bookmarkStart w:id="0" w:name="_GoBack"/>
      <w:bookmarkEnd w:id="0"/>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 Procuraduría Federal del Consumidor.- Oficina del C. Procurador.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ACUERDO POR EL QUE SE ACTUALIZAN PARA EL AÑO DOS MIL VEINTIUNO, LOS MONTOS DE LAS OPERACIONES Y MULTAS PREVISTAS EN LA LEY FEDERAL DE PROTECCIÓN AL CONSUMIDOR.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FRANCISCO RICARDO SHEFFIELD PADILLA, Procurador Federal del Consumidor, con fundamento en lo dispuesto en los artículos 20, 24 fracciones I, II y XIX, 27 fracciones I y XI, y 129 BIS de la Ley Federal de Protección al Consumidor; y 9 fracción III del Reglamento de la Procuraduría Federal del Consumidor, y</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Procuraduría Federal del Consumidor está encargada de proteger los derechos e intereses de los consumidores y tiene atribuciones para aplicar las medidas necesarias para propiciar la equidad y seguridad jurídica en las relaciones de consumo.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entre las medidas de apremio que establece el artículo 25 de la Ley Federal de Protección al Consumidor, para que esta Procuraduría desempeñe las funciones que le atribuye dicho ordenamiento, se encuentra la imposición de multas.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129 BIS de la referida Ley establece la obligación de la Procuraduría de actualizar cada año, por inflación, los montos referidos en pesos en los artículos 25, 99, 117, 126, 127, 128, 128 BIS y 133 de esta ley.</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actualización de los montos de las multas se efectúa conforme al mecanismo previsto por el artículo 129 BIS de la Ley Federal de Protección al Consumidor, debiendo publicarse en el Diario Oficial de la Federación a más tardar el 30 de diciembre de cada año; por lo anteriormente expuesto, he tenido a bien expedir el siguiente:</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ACTUALIZAN PARA EL AÑO DOS MIL VEINTIUNO, LOS MONTOS DE LAS</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OPERACIONES Y MULTAS PREVISTAS EN LA LEY FEDERAL DE PROTECCIÓN AL CONSUMIDOR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señalado en el artículo 99, segundo párrafo y en el artículo 117, segundo párrafo, en relación con el artículo 2, fracción I, de la Ley Federal de Protección al Consumidor, se actualiza para quedar en la cantidad de $580,684.19.</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25, fracción I de la Ley Federal de Protección al Consumidor, se actualiza para quedar en un mínimo de $290.34 y un máximo de $29,034.20.</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25, fracción IV de la Ley Federal de Protección al Consumidor, se actualiza para quedar en la cantidad de $11,613.68.</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CUARTO.-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126 de la Ley Federal de Protección al Consumidor, se actualiza para quedar en un mínimo de $290.34 y un máximo de $929,094.70.</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127 de la Ley Federal de Protección al Consumidor, se actualiza para quedar en un mínimo de $580.68 y un máximo de $1,858,189.39.</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SEXTO.-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128 de la Ley Federal de Protección al Consumidor, se actualiza para quedar en un mínimo de $834.15 y un máximo de $3,262,498.76.</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SÉPTIMO.-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a que se refiere el artículo 128 BIS de la Ley Federal de Protección al Consumidor, se actualiza para quedar en un mínimo de $174,205.27 y un máximo de $4,877,747.21.</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OCTAVO.-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monto de la multa prevista en el artículo 133 de la Ley Federal de Protección al Consumidor, no deberá rebasar la cantidad de $9,755,494.39, cuando por un mismo hecho u omisión se cometan varias infracciones a las que esta ley imponga una sanción.</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NOVENO.-</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actualizaciones a que se refiere el presente Acuerdo estarán vigentes del 1 de enero al 31 de diciembre de 2021.</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el 1 de enero de 2021.</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14 de diciembre de 2020.- El Procurador Federal del Consumidor, </w:t>
      </w:r>
      <w:r>
        <w:rPr>
          <w:rFonts w:hint="default" w:ascii="Verdana Regular" w:hAnsi="Verdana Regular" w:eastAsia="SimSun" w:cs="Verdana Regular"/>
          <w:b/>
          <w:i w:val="0"/>
          <w:caps w:val="0"/>
          <w:color w:val="2F2F2F"/>
          <w:spacing w:val="0"/>
          <w:kern w:val="0"/>
          <w:sz w:val="20"/>
          <w:szCs w:val="20"/>
          <w:shd w:val="clear" w:fill="FFFFFF"/>
          <w:lang w:val="en-US" w:eastAsia="zh-CN" w:bidi="ar"/>
        </w:rPr>
        <w:t>Francisco Ricardo Sheffield Padilla</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7287C"/>
    <w:rsid w:val="F5B7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2020-12-24T10:32:00Z</dcterms:created>
  <dc:creator>allanmorgan</dc:creator>
  <cp:lastModifiedBy>allanmorgan</cp:lastModifiedBy>
  <dcterms:modified xsi:type="dcterms:W3CDTF">2020-12-24T10:33:43Z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