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medio de difusión de la nueva metodología del semáforo por regiones para evaluar el riesgo epidemiológico que representa la enfermedad grave de atención prioritaria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139, 141, 147, 157 Bis 6, 157 Bis 8, 157 Bis 11, 157 Bis 12 y 184 de la Ley General de Salud; 7, fracción XVI del Reglamento Interior de la Secretaría de Salud, así como Segundo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4o. de la Constitución Política de los Estados Unidos Mexicanos establece que toda persona tiene derecho a la protección de la salud, por lo que el Gobierno de México tiene la obligación de garantizar y realizar todas las acciones necesarias para ello;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Salud publicó en el Diario Oficial de la Federación del 24 de marzo de 2020, el Acuerdo por el que se establecen las medidas preventivas que se deberán implementar para la mitigación y control de los riesgos para la salud que implica la enfermedad por el virus SARS-CoV-2 (COVID-19), mismas que fueron sancionadas por el Presidente de la República a través del Decreto publicado en esa misma fecha en el citado órgano de difusión oficial;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marzo de 2020 el Titular del Ejecutivo Federal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 en el cual se prevé que la Secretaría de Salud podrá implementar, además de las previstas en el artículo 184 de la Ley General de Salud, las acciones que se estimen necesarias, y que las dependencias y entidades de la Administración Pública Federal deberán coordinarse y brindar los apoyos que sean requeridos por la Secretaría de Salud, para la instrumentación de las medidas de mitigación y control de la COVID-19;</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31 de marzo de 2020, la Secretaría de Salud publicó en el Diario Oficial de la Federación, el Acuerdo por el que se establecen acciones extraordinarias para atender la emergencia sanitaria generada por el virus SARS-CoV-2, ordenando la suspensión inmediata de las actividades no esenciales, con la finalidad de mitigar la dispersión y transmisión del virus SARS-CoV-2 en la comunidad;</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mismo Acuerdo se estableció el resguardo domiciliario corresponsable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Diario Oficial de la Federación, el 14 de mayo de 2020 se publicó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se plantea una reapertura en tres etapas, mediante un semáforo que incorpora las medidas de seguridad sanitaria apropiadas para las actividades laborales, educativas y el uso del espacio público, entre otros;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Secretaría de Salud, en coordinación con las Secretarías de Economía y del Trabajo y Previsión Social, así como con el Instituto Mexicano del Seguro Social, publicaron el 29 de mayo de 2020, en el Diario Oficial de la Federación, el Acuerdo por el que se establecen los Lineamientos Técnicos Específicos para la Reapertura de las Actividades Económicas; los cuales disponen que para que los centros de trabajo puedan</w:t>
      </w:r>
    </w:p>
    <w:p w:rsidR="00000000" w:rsidDel="00000000" w:rsidP="00000000" w:rsidRDefault="00000000" w:rsidRPr="00000000" w14:paraId="0000000E">
      <w:pPr>
        <w:shd w:fill="ffffff" w:val="clear"/>
        <w:spacing w:after="100" w:lineRule="auto"/>
        <w:jc w:val="both"/>
        <w:rPr>
          <w:color w:val="2f2f2f"/>
          <w:sz w:val="18"/>
          <w:szCs w:val="18"/>
        </w:rPr>
      </w:pPr>
      <w:r w:rsidDel="00000000" w:rsidR="00000000" w:rsidRPr="00000000">
        <w:rPr>
          <w:color w:val="2f2f2f"/>
          <w:sz w:val="18"/>
          <w:szCs w:val="18"/>
          <w:rtl w:val="0"/>
        </w:rPr>
        <w:t xml:space="preserve">identificar las medidas obligatorias para el retorno o la continuidad de sus labores, deberán contemplar cuatro dimensiones a considerar: el tipo de actividad (esencial o no esencial), el tamaño del centro de trabajo, el nivel de alerta sanitaria de la ubicación del centro de trabajo, así como sus características;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julio de 2020, se publicó en el Diario Oficial de la Federación el Acuerdo por el que se da a conocer el medio de difusión de los criterios para las poblaciones en situación de vulnerabilidad, mediante el cual las secretarías de Salud, del Trabajo y Previsión Social, así como el Instituto Mexicano del Seguro Social, dan a conocer que en el sitio web www.coronavirus.gob.mx, se podrán consultar los criterios para las poblaciones en situación de vulnerabilidad que pueden desarrollar una complicación o morir por COVID-19, en la reapertura de actividades económicas en los centros de trabajo;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Criterios para las poblaciones en situaciones de vulnerabilidad tienen como objetivo orientar a las autoridades que conforman el Sistema Nacional de Salud, así como a las personas y centros de trabajo en la protección de la salud y la vida de poblaciones en situación de vulnerabilidad;</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enero de 2021, la Secretaría de Salud publicó en el Diario Oficial de la Federación el Acuerdo por el que se da a conocer el medio de difusión de la Política Nacional de Vacunación contra el virus SARS-CoV-2 para la prevención de la COVID-19 en México, mediante el cual se informó que sería a través del sitio web www.coronavirus.gob.mx, que se podrían conocer las acciones concretas que se ejecutarían con la estrategia de vacunación contra el virus SARS-CoV-2, a efecto de garantizar a la población mexicana vacunas con un perfil correcto de seguridad y eficacia;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la Política Nacional de Vacunación contra el virus SARS-CoV-2, el Estado mexicano ha procurado el abasto y la distribución oportuna y gratuita, así como la disponibilidad de los insumos necesarios para las acciones de vacunación, y en el caso de las acciones relativas a la mitigación y control de la enfermedad grave de atención prioritaria generada por el virus SARS-CoV-2 (COVID-19), ha resuelto que su aplicación sea universal;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por el que se establecen brigadas especiales, como una acción extraordinaria en materia de salubridad general, para llevar a cabo la vacunación como medida para la mitigación y control de la enfermedad COVID-19, en todo el territorio nacional, se publicó en el Diario Oficial de la Federación el 21 de enero de 2021; con el objetivo de hacer frente de una manera efectiva a la emergencia sanitaria originada por el virus SARS-CoV-2, mediante una estrategia de vacunación universal, se establecieron brigadas especiales en todo el territorio nacional como parte de las medidas de control de la enfermedad;</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diversas acciones ejecutadas desde el gobierno federal para hacer frente a la propagación de la enfermedad grave de atención prioritaria COVID-19, así como la efectividad de la Política Nacional de Vacunación contra el virus SARS-CoV-2 para la prevención de la COVID-19 en México, y la correspondiente estrategia de implementación, han contribuido a que millones de personas hayan sido inmunizadas y, por ende, no se encuentren dentro de la población en riesgo de agravarse o fallecer por contraer dicha enfermedad, lo que ha permitido a la población retomar diversas actividades en beneficio del país, y</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avance en la Política Nacional de Vacunación ha modificado la distribución por edades de los contagios, las hospitalizaciones y las defunciones relacionadas con la COVID-19; por lo que, ante la nueva realidad demográfica y epidémica en el país, es necesaria la actualización de los parámetros de medición del semáforo por regiones para evaluar el riesgo epidemiológico, he tenido a bien emitir el siguiente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El presente Acuerdo tiene por objeto dar a conocer el medio de difusión de la nueva metodología del semáforo por regiones para evaluar el riesgo epidemiológico que representa la enfermedad grave de atención prioritaria COVID-19.</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Las personas a quienes se haya administrado un esquema de vacunación contra el virus SARS-CoV-2 y habiendo transcurrido dos semanas posteriores a la aplicación de la última dosis, no serán consideradas dentro de la población en situación de vulnerabilidad para contraer dicha enfermedad grave de atención prioritaria.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 </w:t>
      </w:r>
      <w:r w:rsidDel="00000000" w:rsidR="00000000" w:rsidRPr="00000000">
        <w:rPr>
          <w:color w:val="2f2f2f"/>
          <w:sz w:val="18"/>
          <w:szCs w:val="18"/>
          <w:rtl w:val="0"/>
        </w:rPr>
        <w:t xml:space="preserve">La Secretaría de Salud dará a conocer la nueva metodología a que se refiere el artículo PRIMERO del presente Acuerdo, en el sitio web coronavirus.gob.mx/semaforo.</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Anexo "Semáforo por Regiones" del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el 14 de mayo de 2020 en el Diario Oficial de la Federación.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nueva metodología a que se refiere el artículo PRIMERO del presente Acuerdo, deberá estar disponible a más tardar al día hábil siguiente a la entrada en vigor del presente instrumento.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26 días del mes de julio de 2021.-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w:t>
      </w:r>
    </w:p>
    <w:p w:rsidR="00000000" w:rsidDel="00000000" w:rsidP="00000000" w:rsidRDefault="00000000" w:rsidRPr="00000000" w14:paraId="00000020">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