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79" w:rsidRPr="00841D9A" w:rsidRDefault="00700679" w:rsidP="00700679">
      <w:pPr>
        <w:jc w:val="center"/>
        <w:rPr>
          <w:rFonts w:ascii="Verdana" w:eastAsia="Verdana" w:hAnsi="Verdana" w:cs="Verdana"/>
          <w:b/>
          <w:color w:val="0000FF"/>
          <w:sz w:val="24"/>
          <w:szCs w:val="24"/>
        </w:rPr>
      </w:pPr>
      <w:r w:rsidRPr="00700679">
        <w:rPr>
          <w:rFonts w:ascii="Verdana" w:eastAsia="Verdana" w:hAnsi="Verdana" w:cs="Verdana"/>
          <w:b/>
          <w:color w:val="0000FF"/>
          <w:sz w:val="24"/>
          <w:szCs w:val="24"/>
        </w:rPr>
        <w:t xml:space="preserve">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conversión a moneda nacional para el segundo semestre del año 2022, con vigencia del 1 de julio al 31 de diciembre de 2022.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841D9A">
        <w:rPr>
          <w:rFonts w:ascii="Verdana" w:eastAsia="Verdana" w:hAnsi="Verdana" w:cs="Verdana"/>
          <w:b/>
          <w:color w:val="0000FF"/>
          <w:sz w:val="24"/>
          <w:szCs w:val="24"/>
        </w:rPr>
        <w:t xml:space="preserve"> de junio de 2022)</w:t>
      </w:r>
      <w:bookmarkEnd w:id="0"/>
    </w:p>
    <w:p w:rsidR="00976270" w:rsidRDefault="00700679" w:rsidP="00700679">
      <w:pPr>
        <w:jc w:val="both"/>
        <w:rPr>
          <w:rFonts w:ascii="Arial" w:eastAsia="Times New Roman" w:hAnsi="Arial" w:cs="Arial"/>
          <w:b/>
          <w:sz w:val="18"/>
          <w:szCs w:val="18"/>
          <w:lang w:eastAsia="es-MX"/>
        </w:rPr>
      </w:pPr>
      <w:r w:rsidRPr="00700679">
        <w:rPr>
          <w:rFonts w:ascii="Arial" w:eastAsia="Times New Roman" w:hAnsi="Arial" w:cs="Arial"/>
          <w:b/>
          <w:sz w:val="18"/>
          <w:szCs w:val="18"/>
          <w:lang w:eastAsia="es-MX"/>
        </w:rPr>
        <w:t>Al margen un sello con el Escudo Nacional, que dice: Estados Unidos Mexicanos.- HACIENDA.- Secretaría de Hacienda y Crédito Público.- Oficialía Mayor.- Unidad de Normatividad de Contrataciones Públicas.- Oficio No. UNCP/700/TU/AD/274/2022.</w:t>
      </w:r>
    </w:p>
    <w:p w:rsidR="00700679" w:rsidRPr="00700679" w:rsidRDefault="00700679" w:rsidP="00700679">
      <w:pPr>
        <w:spacing w:after="101" w:line="240" w:lineRule="auto"/>
        <w:jc w:val="right"/>
        <w:rPr>
          <w:rFonts w:ascii="Arial" w:eastAsia="Times New Roman" w:hAnsi="Arial" w:cs="Arial"/>
          <w:sz w:val="18"/>
          <w:szCs w:val="18"/>
          <w:lang w:eastAsia="es-MX"/>
        </w:rPr>
      </w:pPr>
      <w:r>
        <w:rPr>
          <w:rFonts w:ascii="Arial" w:eastAsia="Times New Roman" w:hAnsi="Arial" w:cs="Arial"/>
          <w:b/>
          <w:bCs/>
          <w:color w:val="000000"/>
          <w:sz w:val="18"/>
          <w:szCs w:val="18"/>
          <w:lang w:eastAsia="es-MX"/>
        </w:rPr>
        <w:t xml:space="preserve">                                                                </w:t>
      </w:r>
      <w:r w:rsidRPr="00700679">
        <w:rPr>
          <w:rFonts w:ascii="Arial" w:eastAsia="Times New Roman" w:hAnsi="Arial" w:cs="Arial"/>
          <w:b/>
          <w:bCs/>
          <w:color w:val="000000"/>
          <w:sz w:val="18"/>
          <w:szCs w:val="18"/>
          <w:lang w:eastAsia="es-MX"/>
        </w:rPr>
        <w:t>ASUNTO:</w:t>
      </w:r>
      <w:r w:rsidRPr="00700679">
        <w:rPr>
          <w:rFonts w:ascii="Arial" w:eastAsia="Times New Roman" w:hAnsi="Arial" w:cs="Arial"/>
          <w:color w:val="000000"/>
          <w:sz w:val="18"/>
          <w:szCs w:val="18"/>
          <w:lang w:eastAsia="es-MX"/>
        </w:rPr>
        <w:t xml:space="preserve"> </w:t>
      </w:r>
      <w:r w:rsidRPr="00700679">
        <w:rPr>
          <w:rFonts w:ascii="Arial" w:eastAsia="Times New Roman" w:hAnsi="Arial" w:cs="Arial"/>
          <w:sz w:val="18"/>
          <w:szCs w:val="18"/>
          <w:lang w:eastAsia="es-MX"/>
        </w:rPr>
        <w:t>Conversión a moneda naci</w:t>
      </w:r>
      <w:r>
        <w:rPr>
          <w:rFonts w:ascii="Arial" w:eastAsia="Times New Roman" w:hAnsi="Arial" w:cs="Arial"/>
          <w:sz w:val="18"/>
          <w:szCs w:val="18"/>
          <w:lang w:eastAsia="es-MX"/>
        </w:rPr>
        <w:t>onal de los umbrales aplicables</w:t>
      </w:r>
      <w:r>
        <w:rPr>
          <w:rFonts w:ascii="Arial" w:eastAsia="Times New Roman" w:hAnsi="Arial" w:cs="Arial"/>
          <w:sz w:val="18"/>
          <w:szCs w:val="18"/>
          <w:lang w:eastAsia="es-MX"/>
        </w:rPr>
        <w:br/>
        <w:t xml:space="preserve">                                                     </w:t>
      </w:r>
      <w:r w:rsidRPr="00700679">
        <w:rPr>
          <w:rFonts w:ascii="Arial" w:eastAsia="Times New Roman" w:hAnsi="Arial" w:cs="Arial"/>
          <w:sz w:val="18"/>
          <w:szCs w:val="18"/>
          <w:lang w:eastAsia="es-MX"/>
        </w:rPr>
        <w:t>a los Tratados de Libre Comercio con capítulos de compras gubernamentales para el segundo semestre de 2022</w:t>
      </w:r>
    </w:p>
    <w:p w:rsidR="00700679" w:rsidRPr="00700679" w:rsidRDefault="00700679" w:rsidP="00700679">
      <w:pPr>
        <w:spacing w:after="0" w:line="240" w:lineRule="auto"/>
        <w:jc w:val="both"/>
        <w:rPr>
          <w:rFonts w:ascii="Arial" w:eastAsia="Times New Roman" w:hAnsi="Arial" w:cs="Arial"/>
          <w:sz w:val="18"/>
          <w:szCs w:val="18"/>
          <w:lang w:eastAsia="es-MX"/>
        </w:rPr>
      </w:pPr>
      <w:r w:rsidRPr="00700679">
        <w:rPr>
          <w:rFonts w:ascii="Arial" w:eastAsia="Times New Roman" w:hAnsi="Arial" w:cs="Arial"/>
          <w:b/>
          <w:bCs/>
          <w:color w:val="000000"/>
          <w:sz w:val="18"/>
          <w:szCs w:val="18"/>
          <w:lang w:eastAsia="es-MX"/>
        </w:rPr>
        <w:t>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700679" w:rsidRPr="00700679" w:rsidRDefault="00700679" w:rsidP="00700679">
      <w:pPr>
        <w:spacing w:after="101" w:line="240" w:lineRule="auto"/>
        <w:jc w:val="both"/>
        <w:rPr>
          <w:rFonts w:ascii="Arial" w:eastAsia="Times New Roman" w:hAnsi="Arial" w:cs="Arial"/>
          <w:sz w:val="18"/>
          <w:szCs w:val="18"/>
          <w:lang w:eastAsia="es-MX"/>
        </w:rPr>
      </w:pPr>
      <w:r w:rsidRPr="00700679">
        <w:rPr>
          <w:rFonts w:ascii="Arial" w:eastAsia="Times New Roman" w:hAnsi="Arial" w:cs="Arial"/>
          <w:b/>
          <w:bCs/>
          <w:color w:val="000000"/>
          <w:sz w:val="18"/>
          <w:szCs w:val="18"/>
          <w:lang w:eastAsia="es-MX"/>
        </w:rPr>
        <w:t>P r e s e n t e.</w:t>
      </w:r>
    </w:p>
    <w:p w:rsidR="00700679" w:rsidRPr="00700679" w:rsidRDefault="00700679" w:rsidP="00700679">
      <w:pPr>
        <w:spacing w:after="20" w:line="240" w:lineRule="auto"/>
        <w:ind w:firstLine="288"/>
        <w:jc w:val="both"/>
        <w:rPr>
          <w:rFonts w:ascii="Arial" w:eastAsia="Times New Roman" w:hAnsi="Arial" w:cs="Arial"/>
          <w:sz w:val="18"/>
          <w:szCs w:val="18"/>
          <w:lang w:eastAsia="es-MX"/>
        </w:rPr>
      </w:pPr>
      <w:r w:rsidRPr="00700679">
        <w:rPr>
          <w:rFonts w:ascii="Arial" w:eastAsia="Times New Roman" w:hAnsi="Arial" w:cs="Arial"/>
          <w:color w:val="000000"/>
          <w:sz w:val="18"/>
          <w:szCs w:val="18"/>
          <w:lang w:eastAsia="es-MX"/>
        </w:rPr>
        <w:t>Con fundamento en el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p w:rsidR="00700679" w:rsidRPr="00700679" w:rsidRDefault="00700679" w:rsidP="00700679">
      <w:pPr>
        <w:spacing w:after="0" w:line="240" w:lineRule="auto"/>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91"/>
        <w:gridCol w:w="1678"/>
        <w:gridCol w:w="5043"/>
      </w:tblGrid>
      <w:tr w:rsidR="00700679" w:rsidRPr="00700679" w:rsidTr="00700679">
        <w:trPr>
          <w:trHeight w:val="75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UBICACIÓN DE DEPENDENCIAS Y ENTIDADES SUJETAS A LA COBERTURA</w:t>
            </w:r>
          </w:p>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DEL CAPÍTULO DE COMPRAS DEL SECTOR PÚBLICO DEL</w:t>
            </w:r>
          </w:p>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TRATADO DE LIBRE COMERCIO</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Anexo</w:t>
            </w:r>
          </w:p>
        </w:tc>
        <w:tc>
          <w:tcPr>
            <w:tcW w:w="167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Número del</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Capítulo o Título</w:t>
            </w:r>
          </w:p>
        </w:tc>
        <w:tc>
          <w:tcPr>
            <w:tcW w:w="504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Nombre del Tratado de Libre Comercio</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Sección A y B del Anexo 13-A Lista de México</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13</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Tratado entre los Estados Unidos Mexicanos, los Estados Unidos de</w:t>
            </w:r>
            <w:r w:rsidRPr="00700679">
              <w:rPr>
                <w:rFonts w:ascii="Arial" w:eastAsia="Times New Roman" w:hAnsi="Arial" w:cs="Arial"/>
                <w:color w:val="000000"/>
                <w:sz w:val="18"/>
                <w:szCs w:val="18"/>
                <w:lang w:eastAsia="es-MX"/>
              </w:rPr>
              <w:br/>
              <w:t>América y Canadá (</w:t>
            </w:r>
            <w:r w:rsidRPr="00700679">
              <w:rPr>
                <w:rFonts w:ascii="Arial" w:eastAsia="Times New Roman" w:hAnsi="Arial" w:cs="Arial"/>
                <w:b/>
                <w:bCs/>
                <w:color w:val="000000"/>
                <w:sz w:val="18"/>
                <w:szCs w:val="18"/>
                <w:lang w:eastAsia="es-MX"/>
              </w:rPr>
              <w:t>T-MEC</w:t>
            </w:r>
            <w:r w:rsidRPr="00700679">
              <w:rPr>
                <w:rFonts w:ascii="Arial" w:eastAsia="Times New Roman" w:hAnsi="Arial" w:cs="Arial"/>
                <w:color w:val="000000"/>
                <w:sz w:val="18"/>
                <w:szCs w:val="18"/>
                <w:lang w:eastAsia="es-MX"/>
              </w:rPr>
              <w:t>)</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 xml:space="preserve">Secciones 1 y 2 de la Parte A del Anexo I </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VI</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Tratado de Libre Comercio entre los Estados Unidos Mexicanos y el</w:t>
            </w:r>
            <w:r w:rsidRPr="00700679">
              <w:rPr>
                <w:rFonts w:ascii="Arial" w:eastAsia="Times New Roman" w:hAnsi="Arial" w:cs="Arial"/>
                <w:color w:val="000000"/>
                <w:sz w:val="18"/>
                <w:szCs w:val="18"/>
                <w:lang w:eastAsia="es-MX"/>
              </w:rPr>
              <w:br/>
              <w:t xml:space="preserve">Estado de Israel </w:t>
            </w:r>
            <w:r w:rsidRPr="00700679">
              <w:rPr>
                <w:rFonts w:ascii="Arial" w:eastAsia="Times New Roman" w:hAnsi="Arial" w:cs="Arial"/>
                <w:b/>
                <w:bCs/>
                <w:color w:val="000000"/>
                <w:sz w:val="18"/>
                <w:szCs w:val="18"/>
                <w:lang w:eastAsia="es-MX"/>
              </w:rPr>
              <w:t>(TLC México - Israel)</w:t>
            </w:r>
          </w:p>
        </w:tc>
      </w:tr>
      <w:tr w:rsidR="00700679" w:rsidRPr="00700679" w:rsidTr="00700679">
        <w:trPr>
          <w:trHeight w:val="658"/>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Secciones 1 y 2, de la Parte A-México del Anexo XII</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V</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Tratado de Libre Comercio entre los Estados Unidos Mexicanos y</w:t>
            </w:r>
            <w:r w:rsidRPr="00700679">
              <w:rPr>
                <w:rFonts w:ascii="Arial" w:eastAsia="Times New Roman" w:hAnsi="Arial" w:cs="Arial"/>
                <w:color w:val="000000"/>
                <w:sz w:val="18"/>
                <w:szCs w:val="18"/>
                <w:lang w:eastAsia="es-MX"/>
              </w:rPr>
              <w:br/>
              <w:t xml:space="preserve">los Estados de la Asociación Europea de Libre Comercio </w:t>
            </w:r>
            <w:r w:rsidRPr="00700679">
              <w:rPr>
                <w:rFonts w:ascii="Arial" w:eastAsia="Times New Roman" w:hAnsi="Arial" w:cs="Arial"/>
                <w:b/>
                <w:bCs/>
                <w:color w:val="000000"/>
                <w:sz w:val="18"/>
                <w:szCs w:val="18"/>
                <w:lang w:eastAsia="es-MX"/>
              </w:rPr>
              <w:t>(TLC</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México AELC)</w:t>
            </w:r>
          </w:p>
        </w:tc>
      </w:tr>
      <w:tr w:rsidR="00700679" w:rsidRPr="00700679" w:rsidTr="00700679">
        <w:trPr>
          <w:trHeight w:val="864"/>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Secciones 1 y 2 de la Parte A del Anexo VI</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Título III</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Acuerdo de Asociación Económica, Concertación Política y</w:t>
            </w:r>
            <w:r w:rsidRPr="00700679">
              <w:rPr>
                <w:rFonts w:ascii="Arial" w:eastAsia="Times New Roman" w:hAnsi="Arial" w:cs="Arial"/>
                <w:color w:val="000000"/>
                <w:sz w:val="18"/>
                <w:szCs w:val="18"/>
                <w:lang w:eastAsia="es-MX"/>
              </w:rPr>
              <w:br/>
              <w:t>Cooperación entre los Estados Unidos Mexicanos y la Comunidad</w:t>
            </w:r>
            <w:r w:rsidRPr="00700679">
              <w:rPr>
                <w:rFonts w:ascii="Arial" w:eastAsia="Times New Roman" w:hAnsi="Arial" w:cs="Arial"/>
                <w:color w:val="000000"/>
                <w:sz w:val="18"/>
                <w:szCs w:val="18"/>
                <w:lang w:eastAsia="es-MX"/>
              </w:rPr>
              <w:br/>
              <w:t>Europea y sus Estados Miembros, y en específico la Decisión 2/</w:t>
            </w:r>
            <w:r w:rsidRPr="00700679">
              <w:rPr>
                <w:rFonts w:ascii="Arial" w:eastAsia="Times New Roman" w:hAnsi="Arial" w:cs="Arial"/>
                <w:color w:val="000000"/>
                <w:sz w:val="18"/>
                <w:szCs w:val="18"/>
                <w:lang w:eastAsia="es-MX"/>
              </w:rPr>
              <w:br/>
              <w:t xml:space="preserve">2000 del Consejo Conjunto CE-México. </w:t>
            </w:r>
            <w:r w:rsidRPr="00700679">
              <w:rPr>
                <w:rFonts w:ascii="Arial" w:eastAsia="Times New Roman" w:hAnsi="Arial" w:cs="Arial"/>
                <w:b/>
                <w:bCs/>
                <w:color w:val="000000"/>
                <w:sz w:val="18"/>
                <w:szCs w:val="18"/>
                <w:lang w:eastAsia="es-MX"/>
              </w:rPr>
              <w:t>(TLCUEM)</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lastRenderedPageBreak/>
              <w:t xml:space="preserve">Secciones 1 y 2 de la Parte B del Anexo 11 </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11</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Acuerdo para el Fortalecimiento de la Asociación Económica entre</w:t>
            </w:r>
            <w:r w:rsidRPr="00700679">
              <w:rPr>
                <w:rFonts w:ascii="Arial" w:eastAsia="Times New Roman" w:hAnsi="Arial" w:cs="Arial"/>
                <w:color w:val="000000"/>
                <w:sz w:val="18"/>
                <w:szCs w:val="18"/>
                <w:lang w:eastAsia="es-MX"/>
              </w:rPr>
              <w:br/>
              <w:t xml:space="preserve">los Estados Unidos Mexicanos y el Japón </w:t>
            </w:r>
            <w:r w:rsidRPr="00700679">
              <w:rPr>
                <w:rFonts w:ascii="Arial" w:eastAsia="Times New Roman" w:hAnsi="Arial" w:cs="Arial"/>
                <w:b/>
                <w:bCs/>
                <w:color w:val="000000"/>
                <w:sz w:val="18"/>
                <w:szCs w:val="18"/>
                <w:lang w:eastAsia="es-MX"/>
              </w:rPr>
              <w:t>(TLC México-Japón)</w:t>
            </w:r>
          </w:p>
        </w:tc>
      </w:tr>
      <w:tr w:rsidR="00700679" w:rsidRPr="00700679" w:rsidTr="00700679">
        <w:trPr>
          <w:trHeight w:val="658"/>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Sección B-Lista de México del Anexo 15 bis-01</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15 bis</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Tratado de Libre Comercio entre los Estados Unidos Mexicanos y la</w:t>
            </w:r>
            <w:r w:rsidRPr="00700679">
              <w:rPr>
                <w:rFonts w:ascii="Arial" w:eastAsia="Times New Roman" w:hAnsi="Arial" w:cs="Arial"/>
                <w:color w:val="000000"/>
                <w:sz w:val="18"/>
                <w:szCs w:val="18"/>
                <w:lang w:eastAsia="es-MX"/>
              </w:rPr>
              <w:br/>
              <w:t xml:space="preserve">República de Chile </w:t>
            </w:r>
            <w:r w:rsidRPr="00700679">
              <w:rPr>
                <w:rFonts w:ascii="Arial" w:eastAsia="Times New Roman" w:hAnsi="Arial" w:cs="Arial"/>
                <w:b/>
                <w:bCs/>
                <w:color w:val="000000"/>
                <w:sz w:val="18"/>
                <w:szCs w:val="18"/>
                <w:lang w:eastAsia="es-MX"/>
              </w:rPr>
              <w:t>(TLC México Chile)</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Sección A y C (listas de México) del Anexo 8.2</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8</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 xml:space="preserve">Protocolo Adicional al Acuerdo Marco de la </w:t>
            </w:r>
            <w:r w:rsidRPr="00700679">
              <w:rPr>
                <w:rFonts w:ascii="Arial" w:eastAsia="Times New Roman" w:hAnsi="Arial" w:cs="Arial"/>
                <w:b/>
                <w:bCs/>
                <w:color w:val="000000"/>
                <w:sz w:val="18"/>
                <w:szCs w:val="18"/>
                <w:lang w:eastAsia="es-MX"/>
              </w:rPr>
              <w:t>Alianza del Pacífico</w:t>
            </w:r>
          </w:p>
        </w:tc>
      </w:tr>
      <w:tr w:rsidR="00700679" w:rsidRPr="00700679" w:rsidTr="00700679">
        <w:trPr>
          <w:trHeight w:val="452"/>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Sección A y C del Anexo 15-A Lista de México</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Capítulo 15</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 xml:space="preserve">Tratado Integral y Progresista de Asociación Transpacífico </w:t>
            </w:r>
            <w:r w:rsidRPr="00700679">
              <w:rPr>
                <w:rFonts w:ascii="Arial" w:eastAsia="Times New Roman" w:hAnsi="Arial" w:cs="Arial"/>
                <w:b/>
                <w:bCs/>
                <w:color w:val="000000"/>
                <w:sz w:val="18"/>
                <w:szCs w:val="18"/>
                <w:lang w:eastAsia="es-MX"/>
              </w:rPr>
              <w:t>(TIPAT)</w:t>
            </w:r>
          </w:p>
        </w:tc>
      </w:tr>
      <w:tr w:rsidR="00700679" w:rsidRPr="00700679" w:rsidTr="00700679">
        <w:trPr>
          <w:trHeight w:val="3455"/>
        </w:trPr>
        <w:tc>
          <w:tcPr>
            <w:tcW w:w="19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Artículo 3</w:t>
            </w:r>
          </w:p>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(Incorporación de las Disposiciones relativas al Comercio del Acuerdo Global), referenciado mutatis mutandis a las Secciones 1 y 2 de la Parte A del Anexo VI del Acuerdo de Asociación Económica, Concertación Política y Cooperación entre los Estados Unidos Mexicanos y la Comunidad Europea y sus Estados Miembros, y en específico la Decisión 2/200 del Consejo Conjunto CE-México.</w:t>
            </w:r>
          </w:p>
        </w:tc>
        <w:tc>
          <w:tcPr>
            <w:tcW w:w="16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Artículo 3</w:t>
            </w:r>
          </w:p>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(Incorporación de las Disposiciones relativas al Comercio del Acuerdo Global), referenciado mutatis mutandis al Título III del Acuerdo de Asociación Económica, Concertación Política y Cooperación entre los Estados Unidos Mexicanos y la Comunidad Europea y sus Estados Miembros, y en específico la Decisión 2/200 del Consejo Conjunto CE-México.</w:t>
            </w:r>
          </w:p>
        </w:tc>
        <w:tc>
          <w:tcPr>
            <w:tcW w:w="50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Acuerdo de Continuidad Comercial entre los Estados Unidos</w:t>
            </w:r>
            <w:r w:rsidRPr="00700679">
              <w:rPr>
                <w:rFonts w:ascii="Arial" w:eastAsia="Times New Roman" w:hAnsi="Arial" w:cs="Arial"/>
                <w:color w:val="000000"/>
                <w:sz w:val="18"/>
                <w:szCs w:val="18"/>
                <w:lang w:eastAsia="es-MX"/>
              </w:rPr>
              <w:br/>
              <w:t>Mexicanos y el Reino Unido de la Gran Bretaña e Irlanda del Norte.</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(ACC MX-RU)</w:t>
            </w:r>
          </w:p>
        </w:tc>
      </w:tr>
    </w:tbl>
    <w:p w:rsidR="00700679" w:rsidRPr="00700679" w:rsidRDefault="00700679" w:rsidP="00700679">
      <w:pPr>
        <w:spacing w:after="20" w:line="240" w:lineRule="auto"/>
        <w:ind w:firstLine="288"/>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p w:rsidR="00700679" w:rsidRPr="00700679" w:rsidRDefault="00700679" w:rsidP="00700679">
      <w:pPr>
        <w:spacing w:after="20" w:line="240" w:lineRule="auto"/>
        <w:ind w:firstLine="288"/>
        <w:jc w:val="both"/>
        <w:rPr>
          <w:rFonts w:ascii="Arial" w:eastAsia="Times New Roman" w:hAnsi="Arial" w:cs="Arial"/>
          <w:sz w:val="18"/>
          <w:szCs w:val="18"/>
          <w:lang w:eastAsia="es-MX"/>
        </w:rPr>
      </w:pPr>
      <w:r w:rsidRPr="00700679">
        <w:rPr>
          <w:rFonts w:ascii="Arial" w:eastAsia="Times New Roman" w:hAnsi="Arial" w:cs="Arial"/>
          <w:color w:val="000000"/>
          <w:sz w:val="18"/>
          <w:szCs w:val="18"/>
          <w:lang w:eastAsia="es-MX"/>
        </w:rPr>
        <w:t xml:space="preserve">Tomando en consideración, la información proporcionada por la Secretaría de Economía, mediante el Oficio No. 522/01/025/06.XII.2021 de fecha 07 de diciembre de 2021, por el que se da a conocer el valor en dólares americanos actualizado de los umbrales establecidos en dichos capítulos para su ámbito de aplicación del 1 de enero de 2022 al 31 de diciembre de 2023, se publicó en el DOF, el Oficio Circular No. UNCP/700/TU/752/2021, mediante el cual, con base en la información proporcionada por la Secretaría de Economía se dio a conocer el valor actualizado de los umbrales establecidos en dichos capítulos para su ámbito de aplicación del 1 de enero de 2022 al 31 de diciembre de 2023 se informa la conversión a moneda nacional de los umbrales de referencia aplicable durante el </w:t>
      </w:r>
      <w:r w:rsidRPr="00700679">
        <w:rPr>
          <w:rFonts w:ascii="Arial" w:eastAsia="Times New Roman" w:hAnsi="Arial" w:cs="Arial"/>
          <w:b/>
          <w:bCs/>
          <w:color w:val="000000"/>
          <w:sz w:val="18"/>
          <w:szCs w:val="18"/>
          <w:lang w:eastAsia="es-MX"/>
        </w:rPr>
        <w:t>segundo semestre de 2022</w:t>
      </w:r>
      <w:r w:rsidRPr="00700679">
        <w:rPr>
          <w:rFonts w:ascii="Arial" w:eastAsia="Times New Roman" w:hAnsi="Arial" w:cs="Arial"/>
          <w:color w:val="000000"/>
          <w:sz w:val="18"/>
          <w:szCs w:val="18"/>
          <w:lang w:eastAsia="es-MX"/>
        </w:rPr>
        <w:t>, conforme a lo siguiente:</w:t>
      </w:r>
    </w:p>
    <w:p w:rsidR="00700679" w:rsidRPr="00700679" w:rsidRDefault="00700679" w:rsidP="00700679">
      <w:pPr>
        <w:spacing w:after="2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1.     Los anexos de los respectivos capítulos indicados en el cuadro que antecede, establecen que su ámbito de aplicación, entre otros elementos a considerar, estará determinado por el valor estimado del contrato con relación a los umbrales expresados en dólares estadounidenses.</w:t>
      </w:r>
    </w:p>
    <w:p w:rsidR="00700679" w:rsidRPr="00700679" w:rsidRDefault="00700679" w:rsidP="00700679">
      <w:pPr>
        <w:spacing w:after="2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2.     De acuerdo con el párrafo 1, inciso (b) de la Sección G: Formula de Ajuste de los Umbrales del Capítulo 13 del T-MEC, el ajuste por inflación a los umbrales, será por periodos de dos años, conforme a los montos establecidos en el Oficio No. 522/01/025/06.XII.2021 de fecha 07 de diciembre de 2021 emitido por la Secretaría de Economía serán los siguientes:</w:t>
      </w:r>
    </w:p>
    <w:p w:rsidR="00700679" w:rsidRPr="00700679" w:rsidRDefault="00700679" w:rsidP="00700679">
      <w:pPr>
        <w:spacing w:after="0" w:line="240" w:lineRule="auto"/>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14"/>
        <w:gridCol w:w="6798"/>
      </w:tblGrid>
      <w:tr w:rsidR="00700679" w:rsidRPr="00700679" w:rsidTr="00700679">
        <w:trPr>
          <w:trHeight w:val="3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divId w:val="327951654"/>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PARA DEPENDENCIAS DE LA ADMINISTRACIÓN PÚBLICA FEDERAL LISTADAS EN LOS CAPÍTULOS O</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TÍTULOS DE COMPRAS DEL SECTOR PÚBLICO</w:t>
            </w:r>
          </w:p>
        </w:tc>
      </w:tr>
      <w:tr w:rsidR="00700679" w:rsidRPr="00700679" w:rsidTr="00700679">
        <w:trPr>
          <w:trHeight w:val="200"/>
        </w:trPr>
        <w:tc>
          <w:tcPr>
            <w:tcW w:w="1914"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lastRenderedPageBreak/>
              <w:t>TIPO DE</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CONTRATACIÓN</w:t>
            </w:r>
          </w:p>
        </w:tc>
        <w:tc>
          <w:tcPr>
            <w:tcW w:w="679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MONTO DE UMBRAL EN DÓLARES ESTADOUNIDENSES POR TRATADO</w:t>
            </w:r>
          </w:p>
        </w:tc>
      </w:tr>
      <w:tr w:rsidR="00700679" w:rsidRPr="00700679" w:rsidTr="00700679">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0679" w:rsidRPr="00700679" w:rsidRDefault="00700679" w:rsidP="00700679">
            <w:pPr>
              <w:spacing w:after="0" w:line="240" w:lineRule="auto"/>
              <w:jc w:val="both"/>
              <w:rPr>
                <w:rFonts w:ascii="Arial" w:eastAsia="Times New Roman" w:hAnsi="Arial" w:cs="Arial"/>
                <w:color w:val="000000"/>
                <w:sz w:val="18"/>
                <w:szCs w:val="18"/>
                <w:lang w:eastAsia="es-MX"/>
              </w:rPr>
            </w:pPr>
          </w:p>
        </w:tc>
        <w:tc>
          <w:tcPr>
            <w:tcW w:w="679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T-MEC, TLC MÉXICO-ISRAEL, TLC MÉXICO-AELC, TLCUEM, TLC MÉXICO-JAPÓN, TLC</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MÉXICO-CHILE, ALIANZA DEL PACÍFICO y TIPAT</w:t>
            </w:r>
          </w:p>
        </w:tc>
      </w:tr>
      <w:tr w:rsidR="00700679" w:rsidRPr="00700679" w:rsidTr="00700679">
        <w:trPr>
          <w:trHeight w:val="1000"/>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w:t>
            </w:r>
            <w:r w:rsidRPr="00700679">
              <w:rPr>
                <w:rFonts w:ascii="Arial" w:eastAsia="Times New Roman" w:hAnsi="Arial" w:cs="Arial"/>
                <w:color w:val="000000"/>
                <w:sz w:val="18"/>
                <w:szCs w:val="18"/>
                <w:lang w:eastAsia="es-MX"/>
              </w:rPr>
              <w:br/>
              <w:t>adquisiciones,</w:t>
            </w:r>
            <w:r w:rsidRPr="00700679">
              <w:rPr>
                <w:rFonts w:ascii="Arial" w:eastAsia="Times New Roman" w:hAnsi="Arial" w:cs="Arial"/>
                <w:color w:val="000000"/>
                <w:sz w:val="18"/>
                <w:szCs w:val="18"/>
                <w:lang w:eastAsia="es-MX"/>
              </w:rPr>
              <w:br/>
              <w:t>arrendamientos de</w:t>
            </w:r>
            <w:r w:rsidRPr="00700679">
              <w:rPr>
                <w:rFonts w:ascii="Arial" w:eastAsia="Times New Roman" w:hAnsi="Arial" w:cs="Arial"/>
                <w:color w:val="000000"/>
                <w:sz w:val="18"/>
                <w:szCs w:val="18"/>
                <w:lang w:eastAsia="es-MX"/>
              </w:rPr>
              <w:br/>
              <w:t>bienes muebles y de</w:t>
            </w:r>
            <w:r w:rsidRPr="00700679">
              <w:rPr>
                <w:rFonts w:ascii="Arial" w:eastAsia="Times New Roman" w:hAnsi="Arial" w:cs="Arial"/>
                <w:color w:val="000000"/>
                <w:sz w:val="18"/>
                <w:szCs w:val="18"/>
                <w:lang w:eastAsia="es-MX"/>
              </w:rPr>
              <w:br/>
              <w:t>servicios, incluidos con</w:t>
            </w:r>
            <w:r w:rsidRPr="00700679">
              <w:rPr>
                <w:rFonts w:ascii="Arial" w:eastAsia="Times New Roman" w:hAnsi="Arial" w:cs="Arial"/>
                <w:color w:val="000000"/>
                <w:sz w:val="18"/>
                <w:szCs w:val="18"/>
                <w:lang w:eastAsia="es-MX"/>
              </w:rPr>
              <w:br/>
              <w:t>obra pública</w:t>
            </w:r>
          </w:p>
        </w:tc>
        <w:tc>
          <w:tcPr>
            <w:tcW w:w="6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$92,319 USD (Noventa y dos mil trescientos diecinueve dólares estadounidenses 00/100</w:t>
            </w:r>
            <w:r w:rsidRPr="00700679">
              <w:rPr>
                <w:rFonts w:ascii="Arial" w:eastAsia="Times New Roman" w:hAnsi="Arial" w:cs="Arial"/>
                <w:color w:val="000000"/>
                <w:sz w:val="18"/>
                <w:szCs w:val="18"/>
                <w:lang w:eastAsia="es-MX"/>
              </w:rPr>
              <w:br/>
              <w:t>EE.UU.A)</w:t>
            </w:r>
          </w:p>
        </w:tc>
      </w:tr>
      <w:tr w:rsidR="00700679" w:rsidRPr="00700679" w:rsidTr="00700679">
        <w:trPr>
          <w:trHeight w:val="375"/>
        </w:trPr>
        <w:tc>
          <w:tcPr>
            <w:tcW w:w="19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 obra</w:t>
            </w:r>
            <w:r w:rsidRPr="00700679">
              <w:rPr>
                <w:rFonts w:ascii="Arial" w:eastAsia="Times New Roman" w:hAnsi="Arial" w:cs="Arial"/>
                <w:color w:val="000000"/>
                <w:sz w:val="18"/>
                <w:szCs w:val="18"/>
                <w:lang w:eastAsia="es-MX"/>
              </w:rPr>
              <w:br/>
              <w:t>publica</w:t>
            </w:r>
          </w:p>
        </w:tc>
        <w:tc>
          <w:tcPr>
            <w:tcW w:w="67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$12,001,460 USD (Doce millones un mil cuatrocientos sesenta dólares estadounidenses 00/</w:t>
            </w:r>
            <w:r w:rsidRPr="00700679">
              <w:rPr>
                <w:rFonts w:ascii="Arial" w:eastAsia="Times New Roman" w:hAnsi="Arial" w:cs="Arial"/>
                <w:color w:val="000000"/>
                <w:sz w:val="18"/>
                <w:szCs w:val="18"/>
                <w:lang w:eastAsia="es-MX"/>
              </w:rPr>
              <w:br/>
              <w:t>100 EE.UU.A)</w:t>
            </w:r>
          </w:p>
        </w:tc>
      </w:tr>
    </w:tbl>
    <w:p w:rsidR="00700679" w:rsidRPr="00700679" w:rsidRDefault="00700679" w:rsidP="00700679">
      <w:pPr>
        <w:spacing w:after="20" w:line="240" w:lineRule="auto"/>
        <w:ind w:firstLine="288"/>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83"/>
        <w:gridCol w:w="6729"/>
      </w:tblGrid>
      <w:tr w:rsidR="00700679" w:rsidRPr="00700679" w:rsidTr="00700679">
        <w:trPr>
          <w:trHeight w:val="3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divId w:val="242759903"/>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PARA ENTIDADES PARAESTATALES DE LA ADMINISTRACIÓN PÚBLICA FEDERAL LISTADAS EN LOS</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CAPÍTULOS O TÍTULOS DE COMPRAS DEL SECTOR PÚBLICO</w:t>
            </w:r>
          </w:p>
        </w:tc>
      </w:tr>
      <w:tr w:rsidR="00700679" w:rsidRPr="00700679" w:rsidTr="00700679">
        <w:trPr>
          <w:trHeight w:val="200"/>
        </w:trPr>
        <w:tc>
          <w:tcPr>
            <w:tcW w:w="1983"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TIPO DE</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CONTRATACIÓN</w:t>
            </w:r>
          </w:p>
        </w:tc>
        <w:tc>
          <w:tcPr>
            <w:tcW w:w="672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MONTO DE UMBRAL EN DÓLARES ESTADOUNIDENSES POR TRATADO</w:t>
            </w:r>
          </w:p>
        </w:tc>
      </w:tr>
      <w:tr w:rsidR="00700679" w:rsidRPr="00700679" w:rsidTr="00700679">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0679" w:rsidRPr="00700679" w:rsidRDefault="00700679" w:rsidP="00700679">
            <w:pPr>
              <w:spacing w:after="0" w:line="240" w:lineRule="auto"/>
              <w:jc w:val="both"/>
              <w:rPr>
                <w:rFonts w:ascii="Arial" w:eastAsia="Times New Roman" w:hAnsi="Arial" w:cs="Arial"/>
                <w:color w:val="000000"/>
                <w:sz w:val="18"/>
                <w:szCs w:val="18"/>
                <w:lang w:eastAsia="es-MX"/>
              </w:rPr>
            </w:pPr>
          </w:p>
        </w:tc>
        <w:tc>
          <w:tcPr>
            <w:tcW w:w="672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T-MEC, TLC MÉXICO-ISRAEL, TLC MÉXICO-AELC, TLCUEM, TLC MÉXICO-JAPÓN,</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TLC MÉXICO-CHILE, ALIANZA DEL PACÍFICO y TIPAT</w:t>
            </w:r>
          </w:p>
        </w:tc>
      </w:tr>
      <w:tr w:rsidR="00700679" w:rsidRPr="00700679" w:rsidTr="00700679">
        <w:trPr>
          <w:trHeight w:val="1000"/>
        </w:trPr>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w:t>
            </w:r>
            <w:r w:rsidRPr="00700679">
              <w:rPr>
                <w:rFonts w:ascii="Arial" w:eastAsia="Times New Roman" w:hAnsi="Arial" w:cs="Arial"/>
                <w:color w:val="000000"/>
                <w:sz w:val="18"/>
                <w:szCs w:val="18"/>
                <w:lang w:eastAsia="es-MX"/>
              </w:rPr>
              <w:br/>
              <w:t>adquisiciones,</w:t>
            </w:r>
            <w:r w:rsidRPr="00700679">
              <w:rPr>
                <w:rFonts w:ascii="Arial" w:eastAsia="Times New Roman" w:hAnsi="Arial" w:cs="Arial"/>
                <w:color w:val="000000"/>
                <w:sz w:val="18"/>
                <w:szCs w:val="18"/>
                <w:lang w:eastAsia="es-MX"/>
              </w:rPr>
              <w:br/>
              <w:t>arrendamientos de</w:t>
            </w:r>
            <w:r w:rsidRPr="00700679">
              <w:rPr>
                <w:rFonts w:ascii="Arial" w:eastAsia="Times New Roman" w:hAnsi="Arial" w:cs="Arial"/>
                <w:color w:val="000000"/>
                <w:sz w:val="18"/>
                <w:szCs w:val="18"/>
                <w:lang w:eastAsia="es-MX"/>
              </w:rPr>
              <w:br/>
              <w:t>bienes muebles y de</w:t>
            </w:r>
            <w:r w:rsidRPr="00700679">
              <w:rPr>
                <w:rFonts w:ascii="Arial" w:eastAsia="Times New Roman" w:hAnsi="Arial" w:cs="Arial"/>
                <w:color w:val="000000"/>
                <w:sz w:val="18"/>
                <w:szCs w:val="18"/>
                <w:lang w:eastAsia="es-MX"/>
              </w:rPr>
              <w:br/>
              <w:t>servicios, incluidos con</w:t>
            </w:r>
            <w:r w:rsidRPr="00700679">
              <w:rPr>
                <w:rFonts w:ascii="Arial" w:eastAsia="Times New Roman" w:hAnsi="Arial" w:cs="Arial"/>
                <w:color w:val="000000"/>
                <w:sz w:val="18"/>
                <w:szCs w:val="18"/>
                <w:lang w:eastAsia="es-MX"/>
              </w:rPr>
              <w:br/>
              <w:t>obra pública</w:t>
            </w:r>
          </w:p>
        </w:tc>
        <w:tc>
          <w:tcPr>
            <w:tcW w:w="67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$461,594 USD (Cuatrocientos sesenta y un mil quinientos noventa y cuatro dólares</w:t>
            </w:r>
            <w:r w:rsidRPr="00700679">
              <w:rPr>
                <w:rFonts w:ascii="Arial" w:eastAsia="Times New Roman" w:hAnsi="Arial" w:cs="Arial"/>
                <w:color w:val="000000"/>
                <w:sz w:val="18"/>
                <w:szCs w:val="18"/>
                <w:lang w:eastAsia="es-MX"/>
              </w:rPr>
              <w:br/>
              <w:t>estadounidenses 00/100 EE.UU.A)</w:t>
            </w:r>
          </w:p>
        </w:tc>
      </w:tr>
      <w:tr w:rsidR="00700679" w:rsidRPr="00700679" w:rsidTr="00700679">
        <w:trPr>
          <w:trHeight w:val="375"/>
        </w:trPr>
        <w:tc>
          <w:tcPr>
            <w:tcW w:w="1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 obra</w:t>
            </w:r>
            <w:r w:rsidRPr="00700679">
              <w:rPr>
                <w:rFonts w:ascii="Arial" w:eastAsia="Times New Roman" w:hAnsi="Arial" w:cs="Arial"/>
                <w:color w:val="000000"/>
                <w:sz w:val="18"/>
                <w:szCs w:val="18"/>
                <w:lang w:eastAsia="es-MX"/>
              </w:rPr>
              <w:br/>
              <w:t>publica</w:t>
            </w:r>
          </w:p>
        </w:tc>
        <w:tc>
          <w:tcPr>
            <w:tcW w:w="67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2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$14,771,718 USD (Catorce millones setecientos setenta y un mil setecientos dieciocho</w:t>
            </w:r>
            <w:r w:rsidRPr="00700679">
              <w:rPr>
                <w:rFonts w:ascii="Arial" w:eastAsia="Times New Roman" w:hAnsi="Arial" w:cs="Arial"/>
                <w:color w:val="000000"/>
                <w:sz w:val="18"/>
                <w:szCs w:val="18"/>
                <w:lang w:eastAsia="es-MX"/>
              </w:rPr>
              <w:br/>
              <w:t>dólares estadounidenses 00/100 EE.UU.A)</w:t>
            </w:r>
          </w:p>
        </w:tc>
      </w:tr>
    </w:tbl>
    <w:p w:rsidR="00700679" w:rsidRPr="00700679" w:rsidRDefault="00700679" w:rsidP="00700679">
      <w:pPr>
        <w:spacing w:after="0" w:line="240" w:lineRule="auto"/>
        <w:ind w:firstLine="288"/>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p w:rsidR="00700679" w:rsidRPr="00700679" w:rsidRDefault="00700679" w:rsidP="00700679">
      <w:pPr>
        <w:spacing w:after="4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3.     Considerando que el párrafo 2, de la Sección G: Formula de Ajustes de los Umbrales del Capítulo 13 del T-MEC; el Anexo V, Parte A, párrafo 4 del Capítulo VI del TLC México-Israel; Anexo XVI, Parte C, párrafo 1 del Capítulo V del TLC México-AELC; Anexo X, Parte C, párrafo 1 del Título III, del TLCUEM, Anexo XV, Parte B, párrafo 4 del Capítulo 11 del TLC México-Japón; Anexo 15 bis-05, Sección B/ párrafo 4 del Capítulo 15 bis del TLC México-Chile; Anexo 8.2, Sección I, Apartado de México del Capítulo 8 del Protocolo Adicional al Acuerdo Marco de la Alianza del Pacífico y Anexo 15-A, Sección H, párrafo 2 del Capítulo 15 del TIPAT, señalan que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700679" w:rsidRPr="00700679" w:rsidRDefault="00700679" w:rsidP="00700679">
      <w:pPr>
        <w:spacing w:after="4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4.     De conformidad con lo establecido en el párrafo anterior, para el segundo semestre de 2022, el tipo de cambio para la conversión de umbrales del Capítulo de Compras del Sector Público de estos tratados será el determinado por el Banco de México el día 01 de junio de 2022, mismo que fue publicado en el DOF el día 02 del mismo mes y año, siendo éste de $19.7388 M.N. (diecinueve pesos con siete mil trescientos ochenta y ocho diezmilésimos moneda nacional) por un dólar.</w:t>
      </w:r>
    </w:p>
    <w:p w:rsidR="00700679" w:rsidRPr="00700679" w:rsidRDefault="00700679" w:rsidP="00700679">
      <w:pPr>
        <w:spacing w:after="6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xml:space="preserve">5.     De acuerdo con lo señalado en los puntos 3 y 4 anteriores, los valores en moneda nacional de los umbrales aplicables a los capítulos de compras del sector público de los tratados de libre comercio en cuestión, para el </w:t>
      </w:r>
      <w:r w:rsidRPr="00700679">
        <w:rPr>
          <w:rFonts w:ascii="Arial" w:eastAsia="Times New Roman" w:hAnsi="Arial" w:cs="Arial"/>
          <w:b/>
          <w:bCs/>
          <w:sz w:val="18"/>
          <w:szCs w:val="18"/>
          <w:lang w:eastAsia="es-MX"/>
        </w:rPr>
        <w:t>período del 1 de julio al 31 de diciembre de 2022</w:t>
      </w:r>
      <w:r w:rsidRPr="00700679">
        <w:rPr>
          <w:rFonts w:ascii="Arial" w:eastAsia="Times New Roman" w:hAnsi="Arial" w:cs="Arial"/>
          <w:sz w:val="18"/>
          <w:szCs w:val="18"/>
          <w:lang w:eastAsia="es-MX"/>
        </w:rPr>
        <w:t>, son los siguientes: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82"/>
        <w:gridCol w:w="6030"/>
      </w:tblGrid>
      <w:tr w:rsidR="00700679" w:rsidRPr="00700679" w:rsidTr="00700679">
        <w:trPr>
          <w:trHeight w:val="53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divId w:val="27998604"/>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DEPENDENCIAS DE LA ADMINISTRACIÓN PÚBLICA FEDERAL LISTADAS EN LOS CAPÍTULOS O TÍTULOS DE</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COMPRAS DEL SECTOR PÚBLICO</w:t>
            </w:r>
          </w:p>
        </w:tc>
      </w:tr>
      <w:tr w:rsidR="00700679" w:rsidRPr="00700679" w:rsidTr="00700679">
        <w:trPr>
          <w:trHeight w:val="301"/>
        </w:trPr>
        <w:tc>
          <w:tcPr>
            <w:tcW w:w="2682"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TIPO DE CONTRATACIÓN</w:t>
            </w:r>
          </w:p>
        </w:tc>
        <w:tc>
          <w:tcPr>
            <w:tcW w:w="603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MONTO DE UMBRAL EN MONEDA NACIONAL POR TRATADO</w:t>
            </w:r>
          </w:p>
        </w:tc>
      </w:tr>
      <w:tr w:rsidR="00700679" w:rsidRPr="00700679" w:rsidTr="00700679">
        <w:trPr>
          <w:trHeight w:val="5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0679" w:rsidRPr="00700679" w:rsidRDefault="00700679" w:rsidP="00700679">
            <w:pPr>
              <w:spacing w:after="0" w:line="240" w:lineRule="auto"/>
              <w:jc w:val="both"/>
              <w:rPr>
                <w:rFonts w:ascii="Arial" w:eastAsia="Times New Roman" w:hAnsi="Arial" w:cs="Arial"/>
                <w:color w:val="000000"/>
                <w:sz w:val="18"/>
                <w:szCs w:val="18"/>
                <w:lang w:eastAsia="es-MX"/>
              </w:rPr>
            </w:pPr>
          </w:p>
        </w:tc>
        <w:tc>
          <w:tcPr>
            <w:tcW w:w="603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T-MEC; TLC México - Israel; TLC México - AELC; TLCUE; TLC México -</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Japón; TLC México - Chile; Alianza del Pacífico y TIPAT</w:t>
            </w:r>
          </w:p>
        </w:tc>
      </w:tr>
      <w:tr w:rsidR="00700679" w:rsidRPr="00700679" w:rsidTr="00700679">
        <w:trPr>
          <w:trHeight w:val="964"/>
        </w:trPr>
        <w:tc>
          <w:tcPr>
            <w:tcW w:w="26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lastRenderedPageBreak/>
              <w:t>Contratos de adquisiciones, arrendamientos de bienes muebles y de servicios, incluidos con obra pública</w:t>
            </w:r>
          </w:p>
        </w:tc>
        <w:tc>
          <w:tcPr>
            <w:tcW w:w="60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$1,822,266.00</w:t>
            </w:r>
          </w:p>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w:t>
            </w:r>
            <w:proofErr w:type="gramStart"/>
            <w:r w:rsidRPr="00700679">
              <w:rPr>
                <w:rFonts w:ascii="Arial" w:eastAsia="Times New Roman" w:hAnsi="Arial" w:cs="Arial"/>
                <w:color w:val="000000"/>
                <w:sz w:val="18"/>
                <w:szCs w:val="18"/>
                <w:lang w:eastAsia="es-MX"/>
              </w:rPr>
              <w:t>un</w:t>
            </w:r>
            <w:proofErr w:type="gramEnd"/>
            <w:r w:rsidRPr="00700679">
              <w:rPr>
                <w:rFonts w:ascii="Arial" w:eastAsia="Times New Roman" w:hAnsi="Arial" w:cs="Arial"/>
                <w:color w:val="000000"/>
                <w:sz w:val="18"/>
                <w:szCs w:val="18"/>
                <w:lang w:eastAsia="es-MX"/>
              </w:rPr>
              <w:t xml:space="preserve"> millón, ochocientos veintidós mil, doscientos sesenta y seis pesos 00/100</w:t>
            </w:r>
            <w:r w:rsidRPr="00700679">
              <w:rPr>
                <w:rFonts w:ascii="Arial" w:eastAsia="Times New Roman" w:hAnsi="Arial" w:cs="Arial"/>
                <w:color w:val="000000"/>
                <w:sz w:val="18"/>
                <w:szCs w:val="18"/>
                <w:lang w:eastAsia="es-MX"/>
              </w:rPr>
              <w:br/>
              <w:t>M.N.)</w:t>
            </w:r>
          </w:p>
        </w:tc>
      </w:tr>
      <w:tr w:rsidR="00700679" w:rsidRPr="00700679" w:rsidTr="00700679">
        <w:trPr>
          <w:trHeight w:val="838"/>
        </w:trPr>
        <w:tc>
          <w:tcPr>
            <w:tcW w:w="26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 obra publica</w:t>
            </w:r>
          </w:p>
        </w:tc>
        <w:tc>
          <w:tcPr>
            <w:tcW w:w="60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$236,894,419.00</w:t>
            </w:r>
          </w:p>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(doscientos treinta y seis millones, ochocientos noventa y cuatro mil, cuatrocientos</w:t>
            </w:r>
            <w:r w:rsidRPr="00700679">
              <w:rPr>
                <w:rFonts w:ascii="Arial" w:eastAsia="Times New Roman" w:hAnsi="Arial" w:cs="Arial"/>
                <w:color w:val="000000"/>
                <w:sz w:val="18"/>
                <w:szCs w:val="18"/>
                <w:lang w:eastAsia="es-MX"/>
              </w:rPr>
              <w:br/>
              <w:t>diecinueve pesos 00/100 M.N.</w:t>
            </w:r>
          </w:p>
        </w:tc>
      </w:tr>
    </w:tbl>
    <w:p w:rsidR="00700679" w:rsidRPr="00700679" w:rsidRDefault="00700679" w:rsidP="00700679">
      <w:pPr>
        <w:spacing w:after="40" w:line="240" w:lineRule="auto"/>
        <w:ind w:firstLine="288"/>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p w:rsidR="00700679" w:rsidRPr="00700679" w:rsidRDefault="00700679" w:rsidP="00700679">
      <w:pPr>
        <w:spacing w:after="0" w:line="240" w:lineRule="auto"/>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82"/>
        <w:gridCol w:w="6030"/>
      </w:tblGrid>
      <w:tr w:rsidR="00700679" w:rsidRPr="00700679" w:rsidTr="00700679">
        <w:trPr>
          <w:trHeight w:val="53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divId w:val="740716000"/>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ENTIDADES PARAESTATALES DE LA ADMINISTRACIÓN PÚBLICA FEDERAL LISTADAS EN LOS CAPÍTULOS</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O TÍTULOS DE COMPRAS DEL SECTOR PÚBLICO</w:t>
            </w:r>
          </w:p>
        </w:tc>
      </w:tr>
      <w:tr w:rsidR="00700679" w:rsidRPr="00700679" w:rsidTr="00700679">
        <w:trPr>
          <w:trHeight w:val="301"/>
        </w:trPr>
        <w:tc>
          <w:tcPr>
            <w:tcW w:w="2682" w:type="dxa"/>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TIPO DE CONTRATACIÓN</w:t>
            </w:r>
          </w:p>
        </w:tc>
        <w:tc>
          <w:tcPr>
            <w:tcW w:w="603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MONTO DE UMBRAL EN MONEDA NACIONAL POR TRATADO</w:t>
            </w:r>
          </w:p>
        </w:tc>
      </w:tr>
      <w:tr w:rsidR="00700679" w:rsidRPr="00700679" w:rsidTr="00700679">
        <w:trPr>
          <w:trHeight w:val="5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0679" w:rsidRPr="00700679" w:rsidRDefault="00700679" w:rsidP="00700679">
            <w:pPr>
              <w:spacing w:after="0" w:line="240" w:lineRule="auto"/>
              <w:jc w:val="both"/>
              <w:rPr>
                <w:rFonts w:ascii="Arial" w:eastAsia="Times New Roman" w:hAnsi="Arial" w:cs="Arial"/>
                <w:color w:val="000000"/>
                <w:sz w:val="18"/>
                <w:szCs w:val="18"/>
                <w:lang w:eastAsia="es-MX"/>
              </w:rPr>
            </w:pPr>
          </w:p>
        </w:tc>
        <w:tc>
          <w:tcPr>
            <w:tcW w:w="603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b/>
                <w:bCs/>
                <w:color w:val="000000"/>
                <w:sz w:val="18"/>
                <w:szCs w:val="18"/>
                <w:lang w:eastAsia="es-MX"/>
              </w:rPr>
              <w:t>T-MEC; TLC México - Israel; TLC México - AELC; TLCUE; TLC México -</w:t>
            </w:r>
            <w:r w:rsidRPr="00700679">
              <w:rPr>
                <w:rFonts w:ascii="Arial" w:eastAsia="Times New Roman" w:hAnsi="Arial" w:cs="Arial"/>
                <w:color w:val="000000"/>
                <w:sz w:val="18"/>
                <w:szCs w:val="18"/>
                <w:lang w:eastAsia="es-MX"/>
              </w:rPr>
              <w:br/>
            </w:r>
            <w:r w:rsidRPr="00700679">
              <w:rPr>
                <w:rFonts w:ascii="Arial" w:eastAsia="Times New Roman" w:hAnsi="Arial" w:cs="Arial"/>
                <w:b/>
                <w:bCs/>
                <w:color w:val="000000"/>
                <w:sz w:val="18"/>
                <w:szCs w:val="18"/>
                <w:lang w:eastAsia="es-MX"/>
              </w:rPr>
              <w:t>Japón; TLC México - Chile; Alianza del Pacífico y TIPAT</w:t>
            </w:r>
          </w:p>
        </w:tc>
      </w:tr>
      <w:tr w:rsidR="00700679" w:rsidRPr="00700679" w:rsidTr="00700679">
        <w:trPr>
          <w:trHeight w:val="964"/>
        </w:trPr>
        <w:tc>
          <w:tcPr>
            <w:tcW w:w="26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 adquisiciones, arrendamientos de bienes muebles y de servicios, incluidos con obra pública</w:t>
            </w:r>
          </w:p>
        </w:tc>
        <w:tc>
          <w:tcPr>
            <w:tcW w:w="60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$9,111,312.00</w:t>
            </w:r>
          </w:p>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(nueve millones, ciento once mil, tres cientos doce pesos 00/100 M.N.</w:t>
            </w:r>
          </w:p>
        </w:tc>
      </w:tr>
      <w:tr w:rsidR="00700679" w:rsidRPr="00700679" w:rsidTr="00700679">
        <w:trPr>
          <w:trHeight w:val="838"/>
        </w:trPr>
        <w:tc>
          <w:tcPr>
            <w:tcW w:w="26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Contratos de obra publica</w:t>
            </w:r>
          </w:p>
        </w:tc>
        <w:tc>
          <w:tcPr>
            <w:tcW w:w="60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$291,575,987.00</w:t>
            </w:r>
          </w:p>
          <w:p w:rsidR="00700679" w:rsidRPr="00700679" w:rsidRDefault="00700679" w:rsidP="00700679">
            <w:pPr>
              <w:spacing w:after="40" w:line="240" w:lineRule="auto"/>
              <w:jc w:val="both"/>
              <w:rPr>
                <w:rFonts w:ascii="Arial" w:eastAsia="Times New Roman" w:hAnsi="Arial" w:cs="Arial"/>
                <w:color w:val="000000"/>
                <w:sz w:val="18"/>
                <w:szCs w:val="18"/>
                <w:lang w:eastAsia="es-MX"/>
              </w:rPr>
            </w:pPr>
            <w:r w:rsidRPr="00700679">
              <w:rPr>
                <w:rFonts w:ascii="Arial" w:eastAsia="Times New Roman" w:hAnsi="Arial" w:cs="Arial"/>
                <w:color w:val="000000"/>
                <w:sz w:val="18"/>
                <w:szCs w:val="18"/>
                <w:lang w:eastAsia="es-MX"/>
              </w:rPr>
              <w:t>(doscientos noventa y un millones, quinientos setenta y cinco mil, novecientos</w:t>
            </w:r>
            <w:r w:rsidRPr="00700679">
              <w:rPr>
                <w:rFonts w:ascii="Arial" w:eastAsia="Times New Roman" w:hAnsi="Arial" w:cs="Arial"/>
                <w:color w:val="000000"/>
                <w:sz w:val="18"/>
                <w:szCs w:val="18"/>
                <w:lang w:eastAsia="es-MX"/>
              </w:rPr>
              <w:br/>
              <w:t>ochenta y siete pesos 00/100 M.N.</w:t>
            </w:r>
          </w:p>
        </w:tc>
      </w:tr>
    </w:tbl>
    <w:p w:rsidR="00700679" w:rsidRPr="00700679" w:rsidRDefault="00700679" w:rsidP="00700679">
      <w:pPr>
        <w:spacing w:after="40" w:line="240" w:lineRule="auto"/>
        <w:ind w:firstLine="288"/>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 </w:t>
      </w:r>
    </w:p>
    <w:p w:rsidR="00700679" w:rsidRPr="00700679" w:rsidRDefault="00700679" w:rsidP="00700679">
      <w:pPr>
        <w:spacing w:after="40" w:line="240" w:lineRule="auto"/>
        <w:ind w:hanging="432"/>
        <w:jc w:val="both"/>
        <w:rPr>
          <w:rFonts w:ascii="Arial" w:eastAsia="Times New Roman" w:hAnsi="Arial" w:cs="Arial"/>
          <w:sz w:val="18"/>
          <w:szCs w:val="18"/>
          <w:lang w:eastAsia="es-MX"/>
        </w:rPr>
      </w:pPr>
      <w:r w:rsidRPr="00700679">
        <w:rPr>
          <w:rFonts w:ascii="Arial" w:eastAsia="Times New Roman" w:hAnsi="Arial" w:cs="Arial"/>
          <w:sz w:val="18"/>
          <w:szCs w:val="18"/>
          <w:lang w:eastAsia="es-MX"/>
        </w:rPr>
        <w:t>6.     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pública, deberán verificar en el Tratado el anexo, sección o apartado en que se ubican.</w:t>
      </w:r>
    </w:p>
    <w:p w:rsidR="00700679" w:rsidRPr="00700679" w:rsidRDefault="00700679" w:rsidP="00700679">
      <w:pPr>
        <w:spacing w:after="40" w:line="240" w:lineRule="auto"/>
        <w:ind w:firstLine="288"/>
        <w:jc w:val="both"/>
        <w:rPr>
          <w:rFonts w:ascii="Arial" w:eastAsia="Times New Roman" w:hAnsi="Arial" w:cs="Arial"/>
          <w:sz w:val="18"/>
          <w:szCs w:val="18"/>
          <w:lang w:eastAsia="es-MX"/>
        </w:rPr>
      </w:pPr>
      <w:r w:rsidRPr="00700679">
        <w:rPr>
          <w:rFonts w:ascii="Arial" w:eastAsia="Times New Roman" w:hAnsi="Arial" w:cs="Arial"/>
          <w:color w:val="000000"/>
          <w:sz w:val="18"/>
          <w:szCs w:val="18"/>
          <w:lang w:eastAsia="es-MX"/>
        </w:rPr>
        <w:t>Por lo expuesto, agradeceré que, por su amable conducto, se haga extensiva la presente información a las unidades administrativas responsables de llevar a cabo los procedimientos de contratación pública en las dependencias, entidades, órganos desconcentrados y la Fiscalía General de la República de que se trate.</w:t>
      </w:r>
    </w:p>
    <w:p w:rsidR="00700679" w:rsidRPr="00700679" w:rsidRDefault="00700679" w:rsidP="00700679">
      <w:pPr>
        <w:spacing w:after="40" w:line="240" w:lineRule="auto"/>
        <w:ind w:firstLine="288"/>
        <w:jc w:val="both"/>
        <w:rPr>
          <w:rFonts w:ascii="Arial" w:eastAsia="Times New Roman" w:hAnsi="Arial" w:cs="Arial"/>
          <w:sz w:val="18"/>
          <w:szCs w:val="18"/>
          <w:lang w:eastAsia="es-MX"/>
        </w:rPr>
      </w:pPr>
      <w:r w:rsidRPr="00700679">
        <w:rPr>
          <w:rFonts w:ascii="Arial" w:eastAsia="Times New Roman" w:hAnsi="Arial" w:cs="Arial"/>
          <w:color w:val="000000"/>
          <w:sz w:val="18"/>
          <w:szCs w:val="18"/>
          <w:lang w:eastAsia="es-MX"/>
        </w:rPr>
        <w:t xml:space="preserve">Ciudad de México, a 21 de junio de 2022.- </w:t>
      </w:r>
      <w:r w:rsidRPr="00700679">
        <w:rPr>
          <w:rFonts w:ascii="Arial" w:eastAsia="Times New Roman" w:hAnsi="Arial" w:cs="Arial"/>
          <w:sz w:val="18"/>
          <w:szCs w:val="18"/>
          <w:lang w:eastAsia="es-MX"/>
        </w:rPr>
        <w:t>La Titular de la Unidad, Lic.</w:t>
      </w:r>
      <w:r w:rsidRPr="00700679">
        <w:rPr>
          <w:rFonts w:ascii="Arial" w:eastAsia="Times New Roman" w:hAnsi="Arial" w:cs="Arial"/>
          <w:b/>
          <w:bCs/>
          <w:sz w:val="18"/>
          <w:szCs w:val="18"/>
          <w:lang w:eastAsia="es-MX"/>
        </w:rPr>
        <w:t xml:space="preserve"> Luz Herminia Camacho Rivera</w:t>
      </w:r>
      <w:r w:rsidRPr="00700679">
        <w:rPr>
          <w:rFonts w:ascii="Arial" w:eastAsia="Times New Roman" w:hAnsi="Arial" w:cs="Arial"/>
          <w:sz w:val="18"/>
          <w:szCs w:val="18"/>
          <w:lang w:eastAsia="es-MX"/>
        </w:rPr>
        <w:t>.- Rúbrica.</w:t>
      </w:r>
    </w:p>
    <w:sectPr w:rsidR="00700679" w:rsidRPr="00700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79"/>
    <w:rsid w:val="005152B3"/>
    <w:rsid w:val="0070067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0998">
      <w:bodyDiv w:val="1"/>
      <w:marLeft w:val="0"/>
      <w:marRight w:val="0"/>
      <w:marTop w:val="0"/>
      <w:marBottom w:val="0"/>
      <w:divBdr>
        <w:top w:val="none" w:sz="0" w:space="0" w:color="auto"/>
        <w:left w:val="none" w:sz="0" w:space="0" w:color="auto"/>
        <w:bottom w:val="none" w:sz="0" w:space="0" w:color="auto"/>
        <w:right w:val="none" w:sz="0" w:space="0" w:color="auto"/>
      </w:divBdr>
      <w:divsChild>
        <w:div w:id="1638218664">
          <w:marLeft w:val="4500"/>
          <w:marRight w:val="0"/>
          <w:marTop w:val="0"/>
          <w:marBottom w:val="101"/>
          <w:divBdr>
            <w:top w:val="none" w:sz="0" w:space="0" w:color="auto"/>
            <w:left w:val="none" w:sz="0" w:space="0" w:color="auto"/>
            <w:bottom w:val="none" w:sz="0" w:space="0" w:color="auto"/>
            <w:right w:val="none" w:sz="0" w:space="0" w:color="auto"/>
          </w:divBdr>
        </w:div>
        <w:div w:id="759715009">
          <w:marLeft w:val="288"/>
          <w:marRight w:val="5515"/>
          <w:marTop w:val="0"/>
          <w:marBottom w:val="0"/>
          <w:divBdr>
            <w:top w:val="none" w:sz="0" w:space="0" w:color="auto"/>
            <w:left w:val="none" w:sz="0" w:space="0" w:color="auto"/>
            <w:bottom w:val="none" w:sz="0" w:space="0" w:color="auto"/>
            <w:right w:val="none" w:sz="0" w:space="0" w:color="auto"/>
          </w:divBdr>
        </w:div>
        <w:div w:id="23675361">
          <w:marLeft w:val="288"/>
          <w:marRight w:val="5512"/>
          <w:marTop w:val="0"/>
          <w:marBottom w:val="101"/>
          <w:divBdr>
            <w:top w:val="none" w:sz="0" w:space="0" w:color="auto"/>
            <w:left w:val="none" w:sz="0" w:space="0" w:color="auto"/>
            <w:bottom w:val="none" w:sz="0" w:space="0" w:color="auto"/>
            <w:right w:val="none" w:sz="0" w:space="0" w:color="auto"/>
          </w:divBdr>
        </w:div>
        <w:div w:id="1992906456">
          <w:marLeft w:val="0"/>
          <w:marRight w:val="0"/>
          <w:marTop w:val="20"/>
          <w:marBottom w:val="20"/>
          <w:divBdr>
            <w:top w:val="none" w:sz="0" w:space="0" w:color="auto"/>
            <w:left w:val="none" w:sz="0" w:space="0" w:color="auto"/>
            <w:bottom w:val="none" w:sz="0" w:space="0" w:color="auto"/>
            <w:right w:val="none" w:sz="0" w:space="0" w:color="auto"/>
          </w:divBdr>
        </w:div>
        <w:div w:id="738939037">
          <w:marLeft w:val="0"/>
          <w:marRight w:val="0"/>
          <w:marTop w:val="0"/>
          <w:marBottom w:val="0"/>
          <w:divBdr>
            <w:top w:val="none" w:sz="0" w:space="0" w:color="auto"/>
            <w:left w:val="none" w:sz="0" w:space="0" w:color="auto"/>
            <w:bottom w:val="none" w:sz="0" w:space="0" w:color="auto"/>
            <w:right w:val="none" w:sz="0" w:space="0" w:color="auto"/>
          </w:divBdr>
        </w:div>
        <w:div w:id="651569691">
          <w:marLeft w:val="0"/>
          <w:marRight w:val="0"/>
          <w:marTop w:val="20"/>
          <w:marBottom w:val="20"/>
          <w:divBdr>
            <w:top w:val="none" w:sz="0" w:space="0" w:color="auto"/>
            <w:left w:val="none" w:sz="0" w:space="0" w:color="auto"/>
            <w:bottom w:val="none" w:sz="0" w:space="0" w:color="auto"/>
            <w:right w:val="none" w:sz="0" w:space="0" w:color="auto"/>
          </w:divBdr>
        </w:div>
        <w:div w:id="1824007601">
          <w:marLeft w:val="0"/>
          <w:marRight w:val="0"/>
          <w:marTop w:val="20"/>
          <w:marBottom w:val="20"/>
          <w:divBdr>
            <w:top w:val="none" w:sz="0" w:space="0" w:color="auto"/>
            <w:left w:val="none" w:sz="0" w:space="0" w:color="auto"/>
            <w:bottom w:val="none" w:sz="0" w:space="0" w:color="auto"/>
            <w:right w:val="none" w:sz="0" w:space="0" w:color="auto"/>
          </w:divBdr>
        </w:div>
        <w:div w:id="397441764">
          <w:marLeft w:val="0"/>
          <w:marRight w:val="0"/>
          <w:marTop w:val="20"/>
          <w:marBottom w:val="20"/>
          <w:divBdr>
            <w:top w:val="none" w:sz="0" w:space="0" w:color="auto"/>
            <w:left w:val="none" w:sz="0" w:space="0" w:color="auto"/>
            <w:bottom w:val="none" w:sz="0" w:space="0" w:color="auto"/>
            <w:right w:val="none" w:sz="0" w:space="0" w:color="auto"/>
          </w:divBdr>
        </w:div>
        <w:div w:id="557009318">
          <w:marLeft w:val="0"/>
          <w:marRight w:val="0"/>
          <w:marTop w:val="20"/>
          <w:marBottom w:val="20"/>
          <w:divBdr>
            <w:top w:val="none" w:sz="0" w:space="0" w:color="auto"/>
            <w:left w:val="none" w:sz="0" w:space="0" w:color="auto"/>
            <w:bottom w:val="none" w:sz="0" w:space="0" w:color="auto"/>
            <w:right w:val="none" w:sz="0" w:space="0" w:color="auto"/>
          </w:divBdr>
        </w:div>
        <w:div w:id="360056585">
          <w:marLeft w:val="0"/>
          <w:marRight w:val="0"/>
          <w:marTop w:val="20"/>
          <w:marBottom w:val="20"/>
          <w:divBdr>
            <w:top w:val="none" w:sz="0" w:space="0" w:color="auto"/>
            <w:left w:val="none" w:sz="0" w:space="0" w:color="auto"/>
            <w:bottom w:val="none" w:sz="0" w:space="0" w:color="auto"/>
            <w:right w:val="none" w:sz="0" w:space="0" w:color="auto"/>
          </w:divBdr>
        </w:div>
        <w:div w:id="1923757854">
          <w:marLeft w:val="0"/>
          <w:marRight w:val="0"/>
          <w:marTop w:val="20"/>
          <w:marBottom w:val="20"/>
          <w:divBdr>
            <w:top w:val="none" w:sz="0" w:space="0" w:color="auto"/>
            <w:left w:val="none" w:sz="0" w:space="0" w:color="auto"/>
            <w:bottom w:val="none" w:sz="0" w:space="0" w:color="auto"/>
            <w:right w:val="none" w:sz="0" w:space="0" w:color="auto"/>
          </w:divBdr>
        </w:div>
        <w:div w:id="306008905">
          <w:marLeft w:val="0"/>
          <w:marRight w:val="0"/>
          <w:marTop w:val="20"/>
          <w:marBottom w:val="20"/>
          <w:divBdr>
            <w:top w:val="none" w:sz="0" w:space="0" w:color="auto"/>
            <w:left w:val="none" w:sz="0" w:space="0" w:color="auto"/>
            <w:bottom w:val="none" w:sz="0" w:space="0" w:color="auto"/>
            <w:right w:val="none" w:sz="0" w:space="0" w:color="auto"/>
          </w:divBdr>
        </w:div>
        <w:div w:id="1009523308">
          <w:marLeft w:val="0"/>
          <w:marRight w:val="0"/>
          <w:marTop w:val="20"/>
          <w:marBottom w:val="20"/>
          <w:divBdr>
            <w:top w:val="none" w:sz="0" w:space="0" w:color="auto"/>
            <w:left w:val="none" w:sz="0" w:space="0" w:color="auto"/>
            <w:bottom w:val="none" w:sz="0" w:space="0" w:color="auto"/>
            <w:right w:val="none" w:sz="0" w:space="0" w:color="auto"/>
          </w:divBdr>
        </w:div>
        <w:div w:id="936904475">
          <w:marLeft w:val="0"/>
          <w:marRight w:val="0"/>
          <w:marTop w:val="20"/>
          <w:marBottom w:val="20"/>
          <w:divBdr>
            <w:top w:val="none" w:sz="0" w:space="0" w:color="auto"/>
            <w:left w:val="none" w:sz="0" w:space="0" w:color="auto"/>
            <w:bottom w:val="none" w:sz="0" w:space="0" w:color="auto"/>
            <w:right w:val="none" w:sz="0" w:space="0" w:color="auto"/>
          </w:divBdr>
        </w:div>
        <w:div w:id="825780335">
          <w:marLeft w:val="0"/>
          <w:marRight w:val="0"/>
          <w:marTop w:val="20"/>
          <w:marBottom w:val="20"/>
          <w:divBdr>
            <w:top w:val="none" w:sz="0" w:space="0" w:color="auto"/>
            <w:left w:val="none" w:sz="0" w:space="0" w:color="auto"/>
            <w:bottom w:val="none" w:sz="0" w:space="0" w:color="auto"/>
            <w:right w:val="none" w:sz="0" w:space="0" w:color="auto"/>
          </w:divBdr>
        </w:div>
        <w:div w:id="35204771">
          <w:marLeft w:val="0"/>
          <w:marRight w:val="0"/>
          <w:marTop w:val="20"/>
          <w:marBottom w:val="20"/>
          <w:divBdr>
            <w:top w:val="none" w:sz="0" w:space="0" w:color="auto"/>
            <w:left w:val="none" w:sz="0" w:space="0" w:color="auto"/>
            <w:bottom w:val="none" w:sz="0" w:space="0" w:color="auto"/>
            <w:right w:val="none" w:sz="0" w:space="0" w:color="auto"/>
          </w:divBdr>
        </w:div>
        <w:div w:id="903372912">
          <w:marLeft w:val="0"/>
          <w:marRight w:val="0"/>
          <w:marTop w:val="20"/>
          <w:marBottom w:val="20"/>
          <w:divBdr>
            <w:top w:val="none" w:sz="0" w:space="0" w:color="auto"/>
            <w:left w:val="none" w:sz="0" w:space="0" w:color="auto"/>
            <w:bottom w:val="none" w:sz="0" w:space="0" w:color="auto"/>
            <w:right w:val="none" w:sz="0" w:space="0" w:color="auto"/>
          </w:divBdr>
        </w:div>
        <w:div w:id="1292593247">
          <w:marLeft w:val="0"/>
          <w:marRight w:val="0"/>
          <w:marTop w:val="20"/>
          <w:marBottom w:val="20"/>
          <w:divBdr>
            <w:top w:val="none" w:sz="0" w:space="0" w:color="auto"/>
            <w:left w:val="none" w:sz="0" w:space="0" w:color="auto"/>
            <w:bottom w:val="none" w:sz="0" w:space="0" w:color="auto"/>
            <w:right w:val="none" w:sz="0" w:space="0" w:color="auto"/>
          </w:divBdr>
        </w:div>
        <w:div w:id="582838760">
          <w:marLeft w:val="0"/>
          <w:marRight w:val="0"/>
          <w:marTop w:val="20"/>
          <w:marBottom w:val="20"/>
          <w:divBdr>
            <w:top w:val="none" w:sz="0" w:space="0" w:color="auto"/>
            <w:left w:val="none" w:sz="0" w:space="0" w:color="auto"/>
            <w:bottom w:val="none" w:sz="0" w:space="0" w:color="auto"/>
            <w:right w:val="none" w:sz="0" w:space="0" w:color="auto"/>
          </w:divBdr>
        </w:div>
        <w:div w:id="372072181">
          <w:marLeft w:val="0"/>
          <w:marRight w:val="0"/>
          <w:marTop w:val="20"/>
          <w:marBottom w:val="20"/>
          <w:divBdr>
            <w:top w:val="none" w:sz="0" w:space="0" w:color="auto"/>
            <w:left w:val="none" w:sz="0" w:space="0" w:color="auto"/>
            <w:bottom w:val="none" w:sz="0" w:space="0" w:color="auto"/>
            <w:right w:val="none" w:sz="0" w:space="0" w:color="auto"/>
          </w:divBdr>
        </w:div>
        <w:div w:id="60492480">
          <w:marLeft w:val="0"/>
          <w:marRight w:val="0"/>
          <w:marTop w:val="20"/>
          <w:marBottom w:val="20"/>
          <w:divBdr>
            <w:top w:val="none" w:sz="0" w:space="0" w:color="auto"/>
            <w:left w:val="none" w:sz="0" w:space="0" w:color="auto"/>
            <w:bottom w:val="none" w:sz="0" w:space="0" w:color="auto"/>
            <w:right w:val="none" w:sz="0" w:space="0" w:color="auto"/>
          </w:divBdr>
        </w:div>
        <w:div w:id="1938558718">
          <w:marLeft w:val="0"/>
          <w:marRight w:val="0"/>
          <w:marTop w:val="20"/>
          <w:marBottom w:val="20"/>
          <w:divBdr>
            <w:top w:val="none" w:sz="0" w:space="0" w:color="auto"/>
            <w:left w:val="none" w:sz="0" w:space="0" w:color="auto"/>
            <w:bottom w:val="none" w:sz="0" w:space="0" w:color="auto"/>
            <w:right w:val="none" w:sz="0" w:space="0" w:color="auto"/>
          </w:divBdr>
        </w:div>
        <w:div w:id="610940199">
          <w:marLeft w:val="0"/>
          <w:marRight w:val="0"/>
          <w:marTop w:val="20"/>
          <w:marBottom w:val="20"/>
          <w:divBdr>
            <w:top w:val="none" w:sz="0" w:space="0" w:color="auto"/>
            <w:left w:val="none" w:sz="0" w:space="0" w:color="auto"/>
            <w:bottom w:val="none" w:sz="0" w:space="0" w:color="auto"/>
            <w:right w:val="none" w:sz="0" w:space="0" w:color="auto"/>
          </w:divBdr>
        </w:div>
        <w:div w:id="620460161">
          <w:marLeft w:val="0"/>
          <w:marRight w:val="0"/>
          <w:marTop w:val="20"/>
          <w:marBottom w:val="20"/>
          <w:divBdr>
            <w:top w:val="none" w:sz="0" w:space="0" w:color="auto"/>
            <w:left w:val="none" w:sz="0" w:space="0" w:color="auto"/>
            <w:bottom w:val="none" w:sz="0" w:space="0" w:color="auto"/>
            <w:right w:val="none" w:sz="0" w:space="0" w:color="auto"/>
          </w:divBdr>
        </w:div>
        <w:div w:id="119155438">
          <w:marLeft w:val="0"/>
          <w:marRight w:val="0"/>
          <w:marTop w:val="20"/>
          <w:marBottom w:val="20"/>
          <w:divBdr>
            <w:top w:val="none" w:sz="0" w:space="0" w:color="auto"/>
            <w:left w:val="none" w:sz="0" w:space="0" w:color="auto"/>
            <w:bottom w:val="none" w:sz="0" w:space="0" w:color="auto"/>
            <w:right w:val="none" w:sz="0" w:space="0" w:color="auto"/>
          </w:divBdr>
        </w:div>
        <w:div w:id="258565124">
          <w:marLeft w:val="0"/>
          <w:marRight w:val="0"/>
          <w:marTop w:val="20"/>
          <w:marBottom w:val="20"/>
          <w:divBdr>
            <w:top w:val="none" w:sz="0" w:space="0" w:color="auto"/>
            <w:left w:val="none" w:sz="0" w:space="0" w:color="auto"/>
            <w:bottom w:val="none" w:sz="0" w:space="0" w:color="auto"/>
            <w:right w:val="none" w:sz="0" w:space="0" w:color="auto"/>
          </w:divBdr>
        </w:div>
        <w:div w:id="537550868">
          <w:marLeft w:val="0"/>
          <w:marRight w:val="0"/>
          <w:marTop w:val="20"/>
          <w:marBottom w:val="20"/>
          <w:divBdr>
            <w:top w:val="none" w:sz="0" w:space="0" w:color="auto"/>
            <w:left w:val="none" w:sz="0" w:space="0" w:color="auto"/>
            <w:bottom w:val="none" w:sz="0" w:space="0" w:color="auto"/>
            <w:right w:val="none" w:sz="0" w:space="0" w:color="auto"/>
          </w:divBdr>
        </w:div>
        <w:div w:id="344596376">
          <w:marLeft w:val="0"/>
          <w:marRight w:val="0"/>
          <w:marTop w:val="20"/>
          <w:marBottom w:val="20"/>
          <w:divBdr>
            <w:top w:val="none" w:sz="0" w:space="0" w:color="auto"/>
            <w:left w:val="none" w:sz="0" w:space="0" w:color="auto"/>
            <w:bottom w:val="none" w:sz="0" w:space="0" w:color="auto"/>
            <w:right w:val="none" w:sz="0" w:space="0" w:color="auto"/>
          </w:divBdr>
        </w:div>
        <w:div w:id="498471901">
          <w:marLeft w:val="0"/>
          <w:marRight w:val="0"/>
          <w:marTop w:val="20"/>
          <w:marBottom w:val="20"/>
          <w:divBdr>
            <w:top w:val="none" w:sz="0" w:space="0" w:color="auto"/>
            <w:left w:val="none" w:sz="0" w:space="0" w:color="auto"/>
            <w:bottom w:val="none" w:sz="0" w:space="0" w:color="auto"/>
            <w:right w:val="none" w:sz="0" w:space="0" w:color="auto"/>
          </w:divBdr>
        </w:div>
        <w:div w:id="486440261">
          <w:marLeft w:val="0"/>
          <w:marRight w:val="0"/>
          <w:marTop w:val="20"/>
          <w:marBottom w:val="20"/>
          <w:divBdr>
            <w:top w:val="none" w:sz="0" w:space="0" w:color="auto"/>
            <w:left w:val="none" w:sz="0" w:space="0" w:color="auto"/>
            <w:bottom w:val="none" w:sz="0" w:space="0" w:color="auto"/>
            <w:right w:val="none" w:sz="0" w:space="0" w:color="auto"/>
          </w:divBdr>
        </w:div>
        <w:div w:id="1839230932">
          <w:marLeft w:val="0"/>
          <w:marRight w:val="0"/>
          <w:marTop w:val="20"/>
          <w:marBottom w:val="20"/>
          <w:divBdr>
            <w:top w:val="none" w:sz="0" w:space="0" w:color="auto"/>
            <w:left w:val="none" w:sz="0" w:space="0" w:color="auto"/>
            <w:bottom w:val="none" w:sz="0" w:space="0" w:color="auto"/>
            <w:right w:val="none" w:sz="0" w:space="0" w:color="auto"/>
          </w:divBdr>
        </w:div>
        <w:div w:id="1351107939">
          <w:marLeft w:val="0"/>
          <w:marRight w:val="0"/>
          <w:marTop w:val="20"/>
          <w:marBottom w:val="20"/>
          <w:divBdr>
            <w:top w:val="none" w:sz="0" w:space="0" w:color="auto"/>
            <w:left w:val="none" w:sz="0" w:space="0" w:color="auto"/>
            <w:bottom w:val="none" w:sz="0" w:space="0" w:color="auto"/>
            <w:right w:val="none" w:sz="0" w:space="0" w:color="auto"/>
          </w:divBdr>
        </w:div>
        <w:div w:id="271398317">
          <w:marLeft w:val="0"/>
          <w:marRight w:val="0"/>
          <w:marTop w:val="20"/>
          <w:marBottom w:val="20"/>
          <w:divBdr>
            <w:top w:val="none" w:sz="0" w:space="0" w:color="auto"/>
            <w:left w:val="none" w:sz="0" w:space="0" w:color="auto"/>
            <w:bottom w:val="none" w:sz="0" w:space="0" w:color="auto"/>
            <w:right w:val="none" w:sz="0" w:space="0" w:color="auto"/>
          </w:divBdr>
        </w:div>
        <w:div w:id="1192449937">
          <w:marLeft w:val="0"/>
          <w:marRight w:val="0"/>
          <w:marTop w:val="20"/>
          <w:marBottom w:val="20"/>
          <w:divBdr>
            <w:top w:val="none" w:sz="0" w:space="0" w:color="auto"/>
            <w:left w:val="none" w:sz="0" w:space="0" w:color="auto"/>
            <w:bottom w:val="none" w:sz="0" w:space="0" w:color="auto"/>
            <w:right w:val="none" w:sz="0" w:space="0" w:color="auto"/>
          </w:divBdr>
        </w:div>
        <w:div w:id="1839886616">
          <w:marLeft w:val="0"/>
          <w:marRight w:val="0"/>
          <w:marTop w:val="20"/>
          <w:marBottom w:val="20"/>
          <w:divBdr>
            <w:top w:val="none" w:sz="0" w:space="0" w:color="auto"/>
            <w:left w:val="none" w:sz="0" w:space="0" w:color="auto"/>
            <w:bottom w:val="none" w:sz="0" w:space="0" w:color="auto"/>
            <w:right w:val="none" w:sz="0" w:space="0" w:color="auto"/>
          </w:divBdr>
        </w:div>
        <w:div w:id="1016496010">
          <w:marLeft w:val="0"/>
          <w:marRight w:val="0"/>
          <w:marTop w:val="20"/>
          <w:marBottom w:val="20"/>
          <w:divBdr>
            <w:top w:val="none" w:sz="0" w:space="0" w:color="auto"/>
            <w:left w:val="none" w:sz="0" w:space="0" w:color="auto"/>
            <w:bottom w:val="none" w:sz="0" w:space="0" w:color="auto"/>
            <w:right w:val="none" w:sz="0" w:space="0" w:color="auto"/>
          </w:divBdr>
        </w:div>
        <w:div w:id="24379414">
          <w:marLeft w:val="0"/>
          <w:marRight w:val="0"/>
          <w:marTop w:val="20"/>
          <w:marBottom w:val="20"/>
          <w:divBdr>
            <w:top w:val="none" w:sz="0" w:space="0" w:color="auto"/>
            <w:left w:val="none" w:sz="0" w:space="0" w:color="auto"/>
            <w:bottom w:val="none" w:sz="0" w:space="0" w:color="auto"/>
            <w:right w:val="none" w:sz="0" w:space="0" w:color="auto"/>
          </w:divBdr>
        </w:div>
        <w:div w:id="1560436271">
          <w:marLeft w:val="0"/>
          <w:marRight w:val="0"/>
          <w:marTop w:val="20"/>
          <w:marBottom w:val="20"/>
          <w:divBdr>
            <w:top w:val="none" w:sz="0" w:space="0" w:color="auto"/>
            <w:left w:val="none" w:sz="0" w:space="0" w:color="auto"/>
            <w:bottom w:val="none" w:sz="0" w:space="0" w:color="auto"/>
            <w:right w:val="none" w:sz="0" w:space="0" w:color="auto"/>
          </w:divBdr>
        </w:div>
        <w:div w:id="1484273573">
          <w:marLeft w:val="0"/>
          <w:marRight w:val="0"/>
          <w:marTop w:val="20"/>
          <w:marBottom w:val="20"/>
          <w:divBdr>
            <w:top w:val="none" w:sz="0" w:space="0" w:color="auto"/>
            <w:left w:val="none" w:sz="0" w:space="0" w:color="auto"/>
            <w:bottom w:val="none" w:sz="0" w:space="0" w:color="auto"/>
            <w:right w:val="none" w:sz="0" w:space="0" w:color="auto"/>
          </w:divBdr>
        </w:div>
        <w:div w:id="1582061165">
          <w:marLeft w:val="0"/>
          <w:marRight w:val="0"/>
          <w:marTop w:val="20"/>
          <w:marBottom w:val="20"/>
          <w:divBdr>
            <w:top w:val="none" w:sz="0" w:space="0" w:color="auto"/>
            <w:left w:val="none" w:sz="0" w:space="0" w:color="auto"/>
            <w:bottom w:val="none" w:sz="0" w:space="0" w:color="auto"/>
            <w:right w:val="none" w:sz="0" w:space="0" w:color="auto"/>
          </w:divBdr>
        </w:div>
        <w:div w:id="1322005059">
          <w:marLeft w:val="0"/>
          <w:marRight w:val="0"/>
          <w:marTop w:val="20"/>
          <w:marBottom w:val="20"/>
          <w:divBdr>
            <w:top w:val="none" w:sz="0" w:space="0" w:color="auto"/>
            <w:left w:val="none" w:sz="0" w:space="0" w:color="auto"/>
            <w:bottom w:val="none" w:sz="0" w:space="0" w:color="auto"/>
            <w:right w:val="none" w:sz="0" w:space="0" w:color="auto"/>
          </w:divBdr>
        </w:div>
        <w:div w:id="1089548457">
          <w:marLeft w:val="0"/>
          <w:marRight w:val="0"/>
          <w:marTop w:val="20"/>
          <w:marBottom w:val="20"/>
          <w:divBdr>
            <w:top w:val="none" w:sz="0" w:space="0" w:color="auto"/>
            <w:left w:val="none" w:sz="0" w:space="0" w:color="auto"/>
            <w:bottom w:val="none" w:sz="0" w:space="0" w:color="auto"/>
            <w:right w:val="none" w:sz="0" w:space="0" w:color="auto"/>
          </w:divBdr>
        </w:div>
        <w:div w:id="1212840594">
          <w:marLeft w:val="720"/>
          <w:marRight w:val="0"/>
          <w:marTop w:val="20"/>
          <w:marBottom w:val="20"/>
          <w:divBdr>
            <w:top w:val="none" w:sz="0" w:space="0" w:color="auto"/>
            <w:left w:val="none" w:sz="0" w:space="0" w:color="auto"/>
            <w:bottom w:val="none" w:sz="0" w:space="0" w:color="auto"/>
            <w:right w:val="none" w:sz="0" w:space="0" w:color="auto"/>
          </w:divBdr>
        </w:div>
        <w:div w:id="1705791572">
          <w:marLeft w:val="720"/>
          <w:marRight w:val="0"/>
          <w:marTop w:val="20"/>
          <w:marBottom w:val="20"/>
          <w:divBdr>
            <w:top w:val="none" w:sz="0" w:space="0" w:color="auto"/>
            <w:left w:val="none" w:sz="0" w:space="0" w:color="auto"/>
            <w:bottom w:val="none" w:sz="0" w:space="0" w:color="auto"/>
            <w:right w:val="none" w:sz="0" w:space="0" w:color="auto"/>
          </w:divBdr>
        </w:div>
        <w:div w:id="1340693771">
          <w:marLeft w:val="0"/>
          <w:marRight w:val="0"/>
          <w:marTop w:val="0"/>
          <w:marBottom w:val="0"/>
          <w:divBdr>
            <w:top w:val="none" w:sz="0" w:space="0" w:color="auto"/>
            <w:left w:val="none" w:sz="0" w:space="0" w:color="auto"/>
            <w:bottom w:val="none" w:sz="0" w:space="0" w:color="auto"/>
            <w:right w:val="none" w:sz="0" w:space="0" w:color="auto"/>
          </w:divBdr>
        </w:div>
        <w:div w:id="327951654">
          <w:marLeft w:val="0"/>
          <w:marRight w:val="0"/>
          <w:marTop w:val="20"/>
          <w:marBottom w:val="20"/>
          <w:divBdr>
            <w:top w:val="none" w:sz="0" w:space="0" w:color="auto"/>
            <w:left w:val="none" w:sz="0" w:space="0" w:color="auto"/>
            <w:bottom w:val="none" w:sz="0" w:space="0" w:color="auto"/>
            <w:right w:val="none" w:sz="0" w:space="0" w:color="auto"/>
          </w:divBdr>
        </w:div>
        <w:div w:id="1074355225">
          <w:marLeft w:val="0"/>
          <w:marRight w:val="0"/>
          <w:marTop w:val="20"/>
          <w:marBottom w:val="20"/>
          <w:divBdr>
            <w:top w:val="none" w:sz="0" w:space="0" w:color="auto"/>
            <w:left w:val="none" w:sz="0" w:space="0" w:color="auto"/>
            <w:bottom w:val="none" w:sz="0" w:space="0" w:color="auto"/>
            <w:right w:val="none" w:sz="0" w:space="0" w:color="auto"/>
          </w:divBdr>
        </w:div>
        <w:div w:id="1397240082">
          <w:marLeft w:val="0"/>
          <w:marRight w:val="0"/>
          <w:marTop w:val="20"/>
          <w:marBottom w:val="20"/>
          <w:divBdr>
            <w:top w:val="none" w:sz="0" w:space="0" w:color="auto"/>
            <w:left w:val="none" w:sz="0" w:space="0" w:color="auto"/>
            <w:bottom w:val="none" w:sz="0" w:space="0" w:color="auto"/>
            <w:right w:val="none" w:sz="0" w:space="0" w:color="auto"/>
          </w:divBdr>
        </w:div>
        <w:div w:id="2069575063">
          <w:marLeft w:val="0"/>
          <w:marRight w:val="0"/>
          <w:marTop w:val="20"/>
          <w:marBottom w:val="20"/>
          <w:divBdr>
            <w:top w:val="none" w:sz="0" w:space="0" w:color="auto"/>
            <w:left w:val="none" w:sz="0" w:space="0" w:color="auto"/>
            <w:bottom w:val="none" w:sz="0" w:space="0" w:color="auto"/>
            <w:right w:val="none" w:sz="0" w:space="0" w:color="auto"/>
          </w:divBdr>
        </w:div>
        <w:div w:id="2062365608">
          <w:marLeft w:val="0"/>
          <w:marRight w:val="0"/>
          <w:marTop w:val="20"/>
          <w:marBottom w:val="20"/>
          <w:divBdr>
            <w:top w:val="none" w:sz="0" w:space="0" w:color="auto"/>
            <w:left w:val="none" w:sz="0" w:space="0" w:color="auto"/>
            <w:bottom w:val="none" w:sz="0" w:space="0" w:color="auto"/>
            <w:right w:val="none" w:sz="0" w:space="0" w:color="auto"/>
          </w:divBdr>
        </w:div>
        <w:div w:id="1133865724">
          <w:marLeft w:val="0"/>
          <w:marRight w:val="0"/>
          <w:marTop w:val="20"/>
          <w:marBottom w:val="20"/>
          <w:divBdr>
            <w:top w:val="none" w:sz="0" w:space="0" w:color="auto"/>
            <w:left w:val="none" w:sz="0" w:space="0" w:color="auto"/>
            <w:bottom w:val="none" w:sz="0" w:space="0" w:color="auto"/>
            <w:right w:val="none" w:sz="0" w:space="0" w:color="auto"/>
          </w:divBdr>
        </w:div>
        <w:div w:id="2127187654">
          <w:marLeft w:val="0"/>
          <w:marRight w:val="0"/>
          <w:marTop w:val="20"/>
          <w:marBottom w:val="20"/>
          <w:divBdr>
            <w:top w:val="none" w:sz="0" w:space="0" w:color="auto"/>
            <w:left w:val="none" w:sz="0" w:space="0" w:color="auto"/>
            <w:bottom w:val="none" w:sz="0" w:space="0" w:color="auto"/>
            <w:right w:val="none" w:sz="0" w:space="0" w:color="auto"/>
          </w:divBdr>
        </w:div>
        <w:div w:id="377122038">
          <w:marLeft w:val="0"/>
          <w:marRight w:val="0"/>
          <w:marTop w:val="20"/>
          <w:marBottom w:val="20"/>
          <w:divBdr>
            <w:top w:val="none" w:sz="0" w:space="0" w:color="auto"/>
            <w:left w:val="none" w:sz="0" w:space="0" w:color="auto"/>
            <w:bottom w:val="none" w:sz="0" w:space="0" w:color="auto"/>
            <w:right w:val="none" w:sz="0" w:space="0" w:color="auto"/>
          </w:divBdr>
        </w:div>
        <w:div w:id="1963802148">
          <w:marLeft w:val="0"/>
          <w:marRight w:val="0"/>
          <w:marTop w:val="20"/>
          <w:marBottom w:val="20"/>
          <w:divBdr>
            <w:top w:val="none" w:sz="0" w:space="0" w:color="auto"/>
            <w:left w:val="none" w:sz="0" w:space="0" w:color="auto"/>
            <w:bottom w:val="none" w:sz="0" w:space="0" w:color="auto"/>
            <w:right w:val="none" w:sz="0" w:space="0" w:color="auto"/>
          </w:divBdr>
        </w:div>
        <w:div w:id="242759903">
          <w:marLeft w:val="0"/>
          <w:marRight w:val="0"/>
          <w:marTop w:val="20"/>
          <w:marBottom w:val="20"/>
          <w:divBdr>
            <w:top w:val="none" w:sz="0" w:space="0" w:color="auto"/>
            <w:left w:val="none" w:sz="0" w:space="0" w:color="auto"/>
            <w:bottom w:val="none" w:sz="0" w:space="0" w:color="auto"/>
            <w:right w:val="none" w:sz="0" w:space="0" w:color="auto"/>
          </w:divBdr>
        </w:div>
        <w:div w:id="1618482166">
          <w:marLeft w:val="0"/>
          <w:marRight w:val="0"/>
          <w:marTop w:val="20"/>
          <w:marBottom w:val="20"/>
          <w:divBdr>
            <w:top w:val="none" w:sz="0" w:space="0" w:color="auto"/>
            <w:left w:val="none" w:sz="0" w:space="0" w:color="auto"/>
            <w:bottom w:val="none" w:sz="0" w:space="0" w:color="auto"/>
            <w:right w:val="none" w:sz="0" w:space="0" w:color="auto"/>
          </w:divBdr>
        </w:div>
        <w:div w:id="1491874158">
          <w:marLeft w:val="0"/>
          <w:marRight w:val="0"/>
          <w:marTop w:val="20"/>
          <w:marBottom w:val="20"/>
          <w:divBdr>
            <w:top w:val="none" w:sz="0" w:space="0" w:color="auto"/>
            <w:left w:val="none" w:sz="0" w:space="0" w:color="auto"/>
            <w:bottom w:val="none" w:sz="0" w:space="0" w:color="auto"/>
            <w:right w:val="none" w:sz="0" w:space="0" w:color="auto"/>
          </w:divBdr>
        </w:div>
        <w:div w:id="839004858">
          <w:marLeft w:val="0"/>
          <w:marRight w:val="0"/>
          <w:marTop w:val="20"/>
          <w:marBottom w:val="20"/>
          <w:divBdr>
            <w:top w:val="none" w:sz="0" w:space="0" w:color="auto"/>
            <w:left w:val="none" w:sz="0" w:space="0" w:color="auto"/>
            <w:bottom w:val="none" w:sz="0" w:space="0" w:color="auto"/>
            <w:right w:val="none" w:sz="0" w:space="0" w:color="auto"/>
          </w:divBdr>
        </w:div>
        <w:div w:id="741484661">
          <w:marLeft w:val="0"/>
          <w:marRight w:val="0"/>
          <w:marTop w:val="20"/>
          <w:marBottom w:val="20"/>
          <w:divBdr>
            <w:top w:val="none" w:sz="0" w:space="0" w:color="auto"/>
            <w:left w:val="none" w:sz="0" w:space="0" w:color="auto"/>
            <w:bottom w:val="none" w:sz="0" w:space="0" w:color="auto"/>
            <w:right w:val="none" w:sz="0" w:space="0" w:color="auto"/>
          </w:divBdr>
        </w:div>
        <w:div w:id="516579502">
          <w:marLeft w:val="0"/>
          <w:marRight w:val="0"/>
          <w:marTop w:val="20"/>
          <w:marBottom w:val="20"/>
          <w:divBdr>
            <w:top w:val="none" w:sz="0" w:space="0" w:color="auto"/>
            <w:left w:val="none" w:sz="0" w:space="0" w:color="auto"/>
            <w:bottom w:val="none" w:sz="0" w:space="0" w:color="auto"/>
            <w:right w:val="none" w:sz="0" w:space="0" w:color="auto"/>
          </w:divBdr>
        </w:div>
        <w:div w:id="470751953">
          <w:marLeft w:val="0"/>
          <w:marRight w:val="0"/>
          <w:marTop w:val="20"/>
          <w:marBottom w:val="20"/>
          <w:divBdr>
            <w:top w:val="none" w:sz="0" w:space="0" w:color="auto"/>
            <w:left w:val="none" w:sz="0" w:space="0" w:color="auto"/>
            <w:bottom w:val="none" w:sz="0" w:space="0" w:color="auto"/>
            <w:right w:val="none" w:sz="0" w:space="0" w:color="auto"/>
          </w:divBdr>
        </w:div>
        <w:div w:id="1341421345">
          <w:marLeft w:val="0"/>
          <w:marRight w:val="0"/>
          <w:marTop w:val="20"/>
          <w:marBottom w:val="20"/>
          <w:divBdr>
            <w:top w:val="none" w:sz="0" w:space="0" w:color="auto"/>
            <w:left w:val="none" w:sz="0" w:space="0" w:color="auto"/>
            <w:bottom w:val="none" w:sz="0" w:space="0" w:color="auto"/>
            <w:right w:val="none" w:sz="0" w:space="0" w:color="auto"/>
          </w:divBdr>
        </w:div>
        <w:div w:id="373113889">
          <w:marLeft w:val="0"/>
          <w:marRight w:val="0"/>
          <w:marTop w:val="0"/>
          <w:marBottom w:val="0"/>
          <w:divBdr>
            <w:top w:val="none" w:sz="0" w:space="0" w:color="auto"/>
            <w:left w:val="none" w:sz="0" w:space="0" w:color="auto"/>
            <w:bottom w:val="none" w:sz="0" w:space="0" w:color="auto"/>
            <w:right w:val="none" w:sz="0" w:space="0" w:color="auto"/>
          </w:divBdr>
        </w:div>
        <w:div w:id="1176504893">
          <w:marLeft w:val="720"/>
          <w:marRight w:val="0"/>
          <w:marTop w:val="40"/>
          <w:marBottom w:val="40"/>
          <w:divBdr>
            <w:top w:val="none" w:sz="0" w:space="0" w:color="auto"/>
            <w:left w:val="none" w:sz="0" w:space="0" w:color="auto"/>
            <w:bottom w:val="none" w:sz="0" w:space="0" w:color="auto"/>
            <w:right w:val="none" w:sz="0" w:space="0" w:color="auto"/>
          </w:divBdr>
        </w:div>
        <w:div w:id="1201093962">
          <w:marLeft w:val="720"/>
          <w:marRight w:val="0"/>
          <w:marTop w:val="40"/>
          <w:marBottom w:val="40"/>
          <w:divBdr>
            <w:top w:val="none" w:sz="0" w:space="0" w:color="auto"/>
            <w:left w:val="none" w:sz="0" w:space="0" w:color="auto"/>
            <w:bottom w:val="none" w:sz="0" w:space="0" w:color="auto"/>
            <w:right w:val="none" w:sz="0" w:space="0" w:color="auto"/>
          </w:divBdr>
        </w:div>
        <w:div w:id="1586304952">
          <w:marLeft w:val="720"/>
          <w:marRight w:val="0"/>
          <w:marTop w:val="40"/>
          <w:marBottom w:val="60"/>
          <w:divBdr>
            <w:top w:val="none" w:sz="0" w:space="0" w:color="auto"/>
            <w:left w:val="none" w:sz="0" w:space="0" w:color="auto"/>
            <w:bottom w:val="none" w:sz="0" w:space="0" w:color="auto"/>
            <w:right w:val="none" w:sz="0" w:space="0" w:color="auto"/>
          </w:divBdr>
        </w:div>
        <w:div w:id="27998604">
          <w:marLeft w:val="0"/>
          <w:marRight w:val="0"/>
          <w:marTop w:val="40"/>
          <w:marBottom w:val="40"/>
          <w:divBdr>
            <w:top w:val="none" w:sz="0" w:space="0" w:color="auto"/>
            <w:left w:val="none" w:sz="0" w:space="0" w:color="auto"/>
            <w:bottom w:val="none" w:sz="0" w:space="0" w:color="auto"/>
            <w:right w:val="none" w:sz="0" w:space="0" w:color="auto"/>
          </w:divBdr>
        </w:div>
        <w:div w:id="1145851821">
          <w:marLeft w:val="0"/>
          <w:marRight w:val="0"/>
          <w:marTop w:val="40"/>
          <w:marBottom w:val="40"/>
          <w:divBdr>
            <w:top w:val="none" w:sz="0" w:space="0" w:color="auto"/>
            <w:left w:val="none" w:sz="0" w:space="0" w:color="auto"/>
            <w:bottom w:val="none" w:sz="0" w:space="0" w:color="auto"/>
            <w:right w:val="none" w:sz="0" w:space="0" w:color="auto"/>
          </w:divBdr>
        </w:div>
        <w:div w:id="912398468">
          <w:marLeft w:val="0"/>
          <w:marRight w:val="0"/>
          <w:marTop w:val="40"/>
          <w:marBottom w:val="40"/>
          <w:divBdr>
            <w:top w:val="none" w:sz="0" w:space="0" w:color="auto"/>
            <w:left w:val="none" w:sz="0" w:space="0" w:color="auto"/>
            <w:bottom w:val="none" w:sz="0" w:space="0" w:color="auto"/>
            <w:right w:val="none" w:sz="0" w:space="0" w:color="auto"/>
          </w:divBdr>
        </w:div>
        <w:div w:id="1334724612">
          <w:marLeft w:val="0"/>
          <w:marRight w:val="0"/>
          <w:marTop w:val="40"/>
          <w:marBottom w:val="40"/>
          <w:divBdr>
            <w:top w:val="none" w:sz="0" w:space="0" w:color="auto"/>
            <w:left w:val="none" w:sz="0" w:space="0" w:color="auto"/>
            <w:bottom w:val="none" w:sz="0" w:space="0" w:color="auto"/>
            <w:right w:val="none" w:sz="0" w:space="0" w:color="auto"/>
          </w:divBdr>
        </w:div>
        <w:div w:id="1485200557">
          <w:marLeft w:val="0"/>
          <w:marRight w:val="0"/>
          <w:marTop w:val="40"/>
          <w:marBottom w:val="40"/>
          <w:divBdr>
            <w:top w:val="none" w:sz="0" w:space="0" w:color="auto"/>
            <w:left w:val="none" w:sz="0" w:space="0" w:color="auto"/>
            <w:bottom w:val="none" w:sz="0" w:space="0" w:color="auto"/>
            <w:right w:val="none" w:sz="0" w:space="0" w:color="auto"/>
          </w:divBdr>
        </w:div>
        <w:div w:id="51195884">
          <w:marLeft w:val="0"/>
          <w:marRight w:val="0"/>
          <w:marTop w:val="40"/>
          <w:marBottom w:val="40"/>
          <w:divBdr>
            <w:top w:val="none" w:sz="0" w:space="0" w:color="auto"/>
            <w:left w:val="none" w:sz="0" w:space="0" w:color="auto"/>
            <w:bottom w:val="none" w:sz="0" w:space="0" w:color="auto"/>
            <w:right w:val="none" w:sz="0" w:space="0" w:color="auto"/>
          </w:divBdr>
        </w:div>
        <w:div w:id="262346260">
          <w:marLeft w:val="0"/>
          <w:marRight w:val="0"/>
          <w:marTop w:val="40"/>
          <w:marBottom w:val="40"/>
          <w:divBdr>
            <w:top w:val="none" w:sz="0" w:space="0" w:color="auto"/>
            <w:left w:val="none" w:sz="0" w:space="0" w:color="auto"/>
            <w:bottom w:val="none" w:sz="0" w:space="0" w:color="auto"/>
            <w:right w:val="none" w:sz="0" w:space="0" w:color="auto"/>
          </w:divBdr>
        </w:div>
        <w:div w:id="111947319">
          <w:marLeft w:val="0"/>
          <w:marRight w:val="0"/>
          <w:marTop w:val="40"/>
          <w:marBottom w:val="40"/>
          <w:divBdr>
            <w:top w:val="none" w:sz="0" w:space="0" w:color="auto"/>
            <w:left w:val="none" w:sz="0" w:space="0" w:color="auto"/>
            <w:bottom w:val="none" w:sz="0" w:space="0" w:color="auto"/>
            <w:right w:val="none" w:sz="0" w:space="0" w:color="auto"/>
          </w:divBdr>
        </w:div>
        <w:div w:id="447430718">
          <w:marLeft w:val="0"/>
          <w:marRight w:val="0"/>
          <w:marTop w:val="40"/>
          <w:marBottom w:val="40"/>
          <w:divBdr>
            <w:top w:val="none" w:sz="0" w:space="0" w:color="auto"/>
            <w:left w:val="none" w:sz="0" w:space="0" w:color="auto"/>
            <w:bottom w:val="none" w:sz="0" w:space="0" w:color="auto"/>
            <w:right w:val="none" w:sz="0" w:space="0" w:color="auto"/>
          </w:divBdr>
        </w:div>
        <w:div w:id="318190332">
          <w:marLeft w:val="0"/>
          <w:marRight w:val="0"/>
          <w:marTop w:val="40"/>
          <w:marBottom w:val="40"/>
          <w:divBdr>
            <w:top w:val="none" w:sz="0" w:space="0" w:color="auto"/>
            <w:left w:val="none" w:sz="0" w:space="0" w:color="auto"/>
            <w:bottom w:val="none" w:sz="0" w:space="0" w:color="auto"/>
            <w:right w:val="none" w:sz="0" w:space="0" w:color="auto"/>
          </w:divBdr>
        </w:div>
        <w:div w:id="1196774457">
          <w:marLeft w:val="0"/>
          <w:marRight w:val="0"/>
          <w:marTop w:val="40"/>
          <w:marBottom w:val="40"/>
          <w:divBdr>
            <w:top w:val="none" w:sz="0" w:space="0" w:color="auto"/>
            <w:left w:val="none" w:sz="0" w:space="0" w:color="auto"/>
            <w:bottom w:val="none" w:sz="0" w:space="0" w:color="auto"/>
            <w:right w:val="none" w:sz="0" w:space="0" w:color="auto"/>
          </w:divBdr>
        </w:div>
        <w:div w:id="867253924">
          <w:marLeft w:val="0"/>
          <w:marRight w:val="0"/>
          <w:marTop w:val="0"/>
          <w:marBottom w:val="0"/>
          <w:divBdr>
            <w:top w:val="none" w:sz="0" w:space="0" w:color="auto"/>
            <w:left w:val="none" w:sz="0" w:space="0" w:color="auto"/>
            <w:bottom w:val="none" w:sz="0" w:space="0" w:color="auto"/>
            <w:right w:val="none" w:sz="0" w:space="0" w:color="auto"/>
          </w:divBdr>
        </w:div>
        <w:div w:id="740716000">
          <w:marLeft w:val="0"/>
          <w:marRight w:val="0"/>
          <w:marTop w:val="40"/>
          <w:marBottom w:val="40"/>
          <w:divBdr>
            <w:top w:val="none" w:sz="0" w:space="0" w:color="auto"/>
            <w:left w:val="none" w:sz="0" w:space="0" w:color="auto"/>
            <w:bottom w:val="none" w:sz="0" w:space="0" w:color="auto"/>
            <w:right w:val="none" w:sz="0" w:space="0" w:color="auto"/>
          </w:divBdr>
        </w:div>
        <w:div w:id="1298684322">
          <w:marLeft w:val="0"/>
          <w:marRight w:val="0"/>
          <w:marTop w:val="40"/>
          <w:marBottom w:val="40"/>
          <w:divBdr>
            <w:top w:val="none" w:sz="0" w:space="0" w:color="auto"/>
            <w:left w:val="none" w:sz="0" w:space="0" w:color="auto"/>
            <w:bottom w:val="none" w:sz="0" w:space="0" w:color="auto"/>
            <w:right w:val="none" w:sz="0" w:space="0" w:color="auto"/>
          </w:divBdr>
        </w:div>
        <w:div w:id="1003976530">
          <w:marLeft w:val="0"/>
          <w:marRight w:val="0"/>
          <w:marTop w:val="40"/>
          <w:marBottom w:val="40"/>
          <w:divBdr>
            <w:top w:val="none" w:sz="0" w:space="0" w:color="auto"/>
            <w:left w:val="none" w:sz="0" w:space="0" w:color="auto"/>
            <w:bottom w:val="none" w:sz="0" w:space="0" w:color="auto"/>
            <w:right w:val="none" w:sz="0" w:space="0" w:color="auto"/>
          </w:divBdr>
        </w:div>
        <w:div w:id="464784885">
          <w:marLeft w:val="0"/>
          <w:marRight w:val="0"/>
          <w:marTop w:val="40"/>
          <w:marBottom w:val="40"/>
          <w:divBdr>
            <w:top w:val="none" w:sz="0" w:space="0" w:color="auto"/>
            <w:left w:val="none" w:sz="0" w:space="0" w:color="auto"/>
            <w:bottom w:val="none" w:sz="0" w:space="0" w:color="auto"/>
            <w:right w:val="none" w:sz="0" w:space="0" w:color="auto"/>
          </w:divBdr>
        </w:div>
        <w:div w:id="222259123">
          <w:marLeft w:val="0"/>
          <w:marRight w:val="0"/>
          <w:marTop w:val="40"/>
          <w:marBottom w:val="40"/>
          <w:divBdr>
            <w:top w:val="none" w:sz="0" w:space="0" w:color="auto"/>
            <w:left w:val="none" w:sz="0" w:space="0" w:color="auto"/>
            <w:bottom w:val="none" w:sz="0" w:space="0" w:color="auto"/>
            <w:right w:val="none" w:sz="0" w:space="0" w:color="auto"/>
          </w:divBdr>
        </w:div>
        <w:div w:id="1504466516">
          <w:marLeft w:val="0"/>
          <w:marRight w:val="0"/>
          <w:marTop w:val="40"/>
          <w:marBottom w:val="40"/>
          <w:divBdr>
            <w:top w:val="none" w:sz="0" w:space="0" w:color="auto"/>
            <w:left w:val="none" w:sz="0" w:space="0" w:color="auto"/>
            <w:bottom w:val="none" w:sz="0" w:space="0" w:color="auto"/>
            <w:right w:val="none" w:sz="0" w:space="0" w:color="auto"/>
          </w:divBdr>
        </w:div>
        <w:div w:id="1763068792">
          <w:marLeft w:val="0"/>
          <w:marRight w:val="0"/>
          <w:marTop w:val="40"/>
          <w:marBottom w:val="40"/>
          <w:divBdr>
            <w:top w:val="none" w:sz="0" w:space="0" w:color="auto"/>
            <w:left w:val="none" w:sz="0" w:space="0" w:color="auto"/>
            <w:bottom w:val="none" w:sz="0" w:space="0" w:color="auto"/>
            <w:right w:val="none" w:sz="0" w:space="0" w:color="auto"/>
          </w:divBdr>
        </w:div>
        <w:div w:id="1395351136">
          <w:marLeft w:val="0"/>
          <w:marRight w:val="0"/>
          <w:marTop w:val="40"/>
          <w:marBottom w:val="40"/>
          <w:divBdr>
            <w:top w:val="none" w:sz="0" w:space="0" w:color="auto"/>
            <w:left w:val="none" w:sz="0" w:space="0" w:color="auto"/>
            <w:bottom w:val="none" w:sz="0" w:space="0" w:color="auto"/>
            <w:right w:val="none" w:sz="0" w:space="0" w:color="auto"/>
          </w:divBdr>
        </w:div>
        <w:div w:id="906846012">
          <w:marLeft w:val="0"/>
          <w:marRight w:val="0"/>
          <w:marTop w:val="40"/>
          <w:marBottom w:val="40"/>
          <w:divBdr>
            <w:top w:val="none" w:sz="0" w:space="0" w:color="auto"/>
            <w:left w:val="none" w:sz="0" w:space="0" w:color="auto"/>
            <w:bottom w:val="none" w:sz="0" w:space="0" w:color="auto"/>
            <w:right w:val="none" w:sz="0" w:space="0" w:color="auto"/>
          </w:divBdr>
        </w:div>
        <w:div w:id="421755928">
          <w:marLeft w:val="0"/>
          <w:marRight w:val="0"/>
          <w:marTop w:val="40"/>
          <w:marBottom w:val="40"/>
          <w:divBdr>
            <w:top w:val="none" w:sz="0" w:space="0" w:color="auto"/>
            <w:left w:val="none" w:sz="0" w:space="0" w:color="auto"/>
            <w:bottom w:val="none" w:sz="0" w:space="0" w:color="auto"/>
            <w:right w:val="none" w:sz="0" w:space="0" w:color="auto"/>
          </w:divBdr>
        </w:div>
        <w:div w:id="1247885059">
          <w:marLeft w:val="0"/>
          <w:marRight w:val="0"/>
          <w:marTop w:val="40"/>
          <w:marBottom w:val="40"/>
          <w:divBdr>
            <w:top w:val="none" w:sz="0" w:space="0" w:color="auto"/>
            <w:left w:val="none" w:sz="0" w:space="0" w:color="auto"/>
            <w:bottom w:val="none" w:sz="0" w:space="0" w:color="auto"/>
            <w:right w:val="none" w:sz="0" w:space="0" w:color="auto"/>
          </w:divBdr>
        </w:div>
        <w:div w:id="258564220">
          <w:marLeft w:val="720"/>
          <w:marRight w:val="0"/>
          <w:marTop w:val="40"/>
          <w:marBottom w:val="40"/>
          <w:divBdr>
            <w:top w:val="none" w:sz="0" w:space="0" w:color="auto"/>
            <w:left w:val="none" w:sz="0" w:space="0" w:color="auto"/>
            <w:bottom w:val="none" w:sz="0" w:space="0" w:color="auto"/>
            <w:right w:val="none" w:sz="0" w:space="0" w:color="auto"/>
          </w:divBdr>
        </w:div>
        <w:div w:id="358623081">
          <w:marLeft w:val="0"/>
          <w:marRight w:val="0"/>
          <w:marTop w:val="40"/>
          <w:marBottom w:val="40"/>
          <w:divBdr>
            <w:top w:val="none" w:sz="0" w:space="0" w:color="auto"/>
            <w:left w:val="none" w:sz="0" w:space="0" w:color="auto"/>
            <w:bottom w:val="none" w:sz="0" w:space="0" w:color="auto"/>
            <w:right w:val="none" w:sz="0" w:space="0" w:color="auto"/>
          </w:divBdr>
        </w:div>
        <w:div w:id="2127305377">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1757</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2022-06-28T13:20:00Z</dcterms:created>
  <dcterms:modified xsi:type="dcterms:W3CDTF">2022-06-28T13:25:00Z</dcterms:modified>
</cp:coreProperties>
</file>