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09" w:rsidRPr="00841D9A" w:rsidRDefault="00FB5309" w:rsidP="00FB5309">
      <w:pPr>
        <w:jc w:val="center"/>
        <w:rPr>
          <w:rFonts w:ascii="Verdana" w:eastAsia="Verdana" w:hAnsi="Verdana" w:cs="Verdana"/>
          <w:b/>
          <w:color w:val="0000FF"/>
          <w:sz w:val="24"/>
          <w:szCs w:val="24"/>
        </w:rPr>
      </w:pPr>
      <w:r w:rsidRPr="00FB5309">
        <w:rPr>
          <w:rFonts w:ascii="Verdana" w:eastAsia="Verdana" w:hAnsi="Verdana" w:cs="Verdana"/>
          <w:b/>
          <w:color w:val="0000FF"/>
          <w:sz w:val="24"/>
          <w:szCs w:val="24"/>
        </w:rPr>
        <w:t>RESOLUCIÓN de facilidades administrativas para los contribuyentes de los sectores que en la misma se señalan para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marzo de 2023</w:t>
      </w:r>
      <w:r w:rsidRPr="0099730F">
        <w:rPr>
          <w:rFonts w:ascii="Verdana" w:eastAsia="Verdana" w:hAnsi="Verdana" w:cs="Verdana"/>
          <w:b/>
          <w:color w:val="0000FF"/>
          <w:sz w:val="24"/>
          <w:szCs w:val="24"/>
        </w:rPr>
        <w:t>)</w:t>
      </w:r>
    </w:p>
    <w:bookmarkEnd w:id="0"/>
    <w:p w:rsidR="00C518FC" w:rsidRDefault="00FB5309" w:rsidP="00FB5309">
      <w:pPr>
        <w:jc w:val="both"/>
        <w:rPr>
          <w:rFonts w:ascii="Arial" w:hAnsi="Arial" w:cs="Arial"/>
          <w:b/>
          <w:color w:val="2F2F2F"/>
          <w:sz w:val="18"/>
          <w:szCs w:val="18"/>
          <w:shd w:val="clear" w:color="auto" w:fill="FFFFFF"/>
        </w:rPr>
      </w:pPr>
      <w:r w:rsidRPr="00FB5309">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w:t>
      </w:r>
    </w:p>
    <w:p w:rsidR="00FB5309" w:rsidRPr="00FB5309" w:rsidRDefault="00FB5309" w:rsidP="00FB53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5309">
        <w:rPr>
          <w:rFonts w:ascii="Times" w:eastAsia="Times New Roman" w:hAnsi="Times" w:cs="Times"/>
          <w:b/>
          <w:bCs/>
          <w:color w:val="2F2F2F"/>
          <w:sz w:val="18"/>
          <w:szCs w:val="18"/>
          <w:lang w:eastAsia="es-MX"/>
        </w:rPr>
        <w:t>Resolución de facilidades administrativas para los contribuyentes de los sectores que en la misma se señalan para</w:t>
      </w:r>
      <w:r w:rsidRPr="00FB5309">
        <w:rPr>
          <w:rFonts w:ascii="Times New Roman" w:eastAsia="Times New Roman" w:hAnsi="Times New Roman" w:cs="Times New Roman"/>
          <w:b/>
          <w:bCs/>
          <w:color w:val="2F2F2F"/>
          <w:sz w:val="18"/>
          <w:szCs w:val="18"/>
          <w:lang w:eastAsia="es-MX"/>
        </w:rPr>
        <w:br/>
      </w:r>
      <w:r w:rsidRPr="00FB5309">
        <w:rPr>
          <w:rFonts w:ascii="Times" w:eastAsia="Times New Roman" w:hAnsi="Times" w:cs="Times"/>
          <w:b/>
          <w:bCs/>
          <w:color w:val="2F2F2F"/>
          <w:sz w:val="18"/>
          <w:szCs w:val="18"/>
          <w:lang w:eastAsia="es-MX"/>
        </w:rPr>
        <w:t>2023.</w:t>
      </w:r>
    </w:p>
    <w:p w:rsidR="00FB5309" w:rsidRPr="00FB5309" w:rsidRDefault="00FB5309" w:rsidP="00FB5309">
      <w:pPr>
        <w:shd w:val="clear" w:color="auto" w:fill="FFFFFF"/>
        <w:spacing w:after="101" w:line="240" w:lineRule="auto"/>
        <w:ind w:firstLine="288"/>
        <w:jc w:val="both"/>
        <w:rPr>
          <w:rFonts w:ascii="Arial" w:eastAsia="Times New Roman" w:hAnsi="Arial" w:cs="Arial"/>
          <w:color w:val="2F2F2F"/>
          <w:sz w:val="18"/>
          <w:szCs w:val="18"/>
          <w:lang w:eastAsia="es-MX"/>
        </w:rPr>
      </w:pPr>
      <w:r w:rsidRPr="00FB5309">
        <w:rPr>
          <w:rFonts w:ascii="Arial" w:eastAsia="Times New Roman" w:hAnsi="Arial" w:cs="Arial"/>
          <w:color w:val="000000"/>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8 del Reglamento Interior del Servicio de Administración Tributaria y 77 del Reglamento de la Ley del Impuesto al Valor Agregado, y</w:t>
      </w:r>
    </w:p>
    <w:p w:rsidR="00FB5309" w:rsidRPr="00FB5309" w:rsidRDefault="00FB5309" w:rsidP="00FB53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5309">
        <w:rPr>
          <w:rFonts w:ascii="Times" w:eastAsia="Times New Roman" w:hAnsi="Times" w:cs="Times"/>
          <w:b/>
          <w:bCs/>
          <w:color w:val="2F2F2F"/>
          <w:sz w:val="18"/>
          <w:szCs w:val="18"/>
          <w:lang w:eastAsia="es-MX"/>
        </w:rPr>
        <w:t>Considerando</w:t>
      </w:r>
    </w:p>
    <w:p w:rsidR="00FB5309" w:rsidRPr="00FB5309" w:rsidRDefault="00FB5309" w:rsidP="00FB5309">
      <w:pPr>
        <w:shd w:val="clear" w:color="auto" w:fill="FFFFFF"/>
        <w:spacing w:after="101" w:line="240" w:lineRule="auto"/>
        <w:ind w:firstLine="288"/>
        <w:jc w:val="both"/>
        <w:rPr>
          <w:rFonts w:ascii="Arial" w:eastAsia="Times New Roman" w:hAnsi="Arial" w:cs="Arial"/>
          <w:color w:val="2F2F2F"/>
          <w:sz w:val="18"/>
          <w:szCs w:val="18"/>
          <w:lang w:eastAsia="es-MX"/>
        </w:rPr>
      </w:pPr>
      <w:r w:rsidRPr="00FB5309">
        <w:rPr>
          <w:rFonts w:ascii="Arial" w:eastAsia="Times New Roman" w:hAnsi="Arial" w:cs="Arial"/>
          <w:color w:val="000000"/>
          <w:sz w:val="18"/>
          <w:szCs w:val="18"/>
          <w:lang w:eastAsia="es-MX"/>
        </w:rPr>
        <w:t xml:space="preserve">Que la Ley del Impuesto sobre la Renta establece regímenes de base de efectivo, aplicables a los contribuyentes </w:t>
      </w:r>
      <w:proofErr w:type="gramStart"/>
      <w:r w:rsidRPr="00FB5309">
        <w:rPr>
          <w:rFonts w:ascii="Arial" w:eastAsia="Times New Roman" w:hAnsi="Arial" w:cs="Arial"/>
          <w:color w:val="000000"/>
          <w:sz w:val="18"/>
          <w:szCs w:val="18"/>
          <w:lang w:eastAsia="es-MX"/>
        </w:rPr>
        <w:t>de los sectores primario</w:t>
      </w:r>
      <w:proofErr w:type="gramEnd"/>
      <w:r w:rsidRPr="00FB5309">
        <w:rPr>
          <w:rFonts w:ascii="Arial" w:eastAsia="Times New Roman" w:hAnsi="Arial" w:cs="Arial"/>
          <w:color w:val="000000"/>
          <w:sz w:val="18"/>
          <w:szCs w:val="18"/>
          <w:lang w:eastAsia="es-MX"/>
        </w:rPr>
        <w:t xml:space="preserve"> y de autotransporte de carga y de pasajeros;</w:t>
      </w:r>
    </w:p>
    <w:p w:rsidR="00FB5309" w:rsidRPr="00FB5309" w:rsidRDefault="00FB5309" w:rsidP="00FB5309">
      <w:pPr>
        <w:shd w:val="clear" w:color="auto" w:fill="FFFFFF"/>
        <w:spacing w:after="101" w:line="240" w:lineRule="auto"/>
        <w:ind w:firstLine="288"/>
        <w:jc w:val="both"/>
        <w:rPr>
          <w:rFonts w:ascii="Arial" w:eastAsia="Times New Roman" w:hAnsi="Arial" w:cs="Arial"/>
          <w:color w:val="2F2F2F"/>
          <w:sz w:val="18"/>
          <w:szCs w:val="18"/>
          <w:lang w:eastAsia="es-MX"/>
        </w:rPr>
      </w:pPr>
      <w:r w:rsidRPr="00FB5309">
        <w:rPr>
          <w:rFonts w:ascii="Arial" w:eastAsia="Times New Roman" w:hAnsi="Arial" w:cs="Arial"/>
          <w:color w:val="000000"/>
          <w:sz w:val="18"/>
          <w:szCs w:val="18"/>
          <w:lang w:eastAsia="es-MX"/>
        </w:rPr>
        <w:t>Que el Servicio de Administración Tributaria, con fundamento en las facultades que le fueron conferidas por el Congreso de la Unión para establecer reglas de carácter general, considera necesario otorgar para el ejercicio fiscal de 2023 a los referidos contribuyentes, facilidades administrativas y de comprobación, a fin de simplificar el cumplimiento de sus obligaciones fiscales. Asimismo, durante el ejercicio fiscal de 2023 continuará publicando folletos y llevará a cabo talleres, con el objeto de que estos contribuyentes, mediante ejemplos prácticos y situaciones precisas, puedan conocer sus obligaciones fiscales y la forma de cumplirlas;</w:t>
      </w:r>
    </w:p>
    <w:p w:rsidR="00FB5309" w:rsidRPr="00FB5309" w:rsidRDefault="00FB5309" w:rsidP="00FB5309">
      <w:pPr>
        <w:shd w:val="clear" w:color="auto" w:fill="FFFFFF"/>
        <w:spacing w:after="101" w:line="240" w:lineRule="auto"/>
        <w:ind w:firstLine="288"/>
        <w:jc w:val="both"/>
        <w:rPr>
          <w:rFonts w:ascii="Arial" w:eastAsia="Times New Roman" w:hAnsi="Arial" w:cs="Arial"/>
          <w:color w:val="2F2F2F"/>
          <w:sz w:val="18"/>
          <w:szCs w:val="18"/>
          <w:lang w:eastAsia="es-MX"/>
        </w:rPr>
      </w:pPr>
      <w:r w:rsidRPr="00FB5309">
        <w:rPr>
          <w:rFonts w:ascii="Arial" w:eastAsia="Times New Roman" w:hAnsi="Arial" w:cs="Arial"/>
          <w:color w:val="000000"/>
          <w:sz w:val="18"/>
          <w:szCs w:val="18"/>
          <w:lang w:eastAsia="es-MX"/>
        </w:rPr>
        <w:t>Que este órgano desconcentrado, por medio de sus servicios de orientación, informará y resolverá las dudas que formulen los contribuyentes de los sectores a que se refiere la presente Resolución, conforme al desarrollo de sus actividades, a efecto de que los mismos puedan cumplir adecuadamente con sus obligaciones fiscales, y</w:t>
      </w:r>
    </w:p>
    <w:p w:rsidR="00FB5309" w:rsidRPr="00FB5309" w:rsidRDefault="00FB5309" w:rsidP="00FB5309">
      <w:pPr>
        <w:shd w:val="clear" w:color="auto" w:fill="FFFFFF"/>
        <w:spacing w:after="101" w:line="240" w:lineRule="auto"/>
        <w:ind w:firstLine="288"/>
        <w:jc w:val="both"/>
        <w:rPr>
          <w:rFonts w:ascii="Arial" w:eastAsia="Times New Roman" w:hAnsi="Arial" w:cs="Arial"/>
          <w:color w:val="2F2F2F"/>
          <w:sz w:val="18"/>
          <w:szCs w:val="18"/>
          <w:lang w:eastAsia="es-MX"/>
        </w:rPr>
      </w:pPr>
      <w:r w:rsidRPr="00FB5309">
        <w:rPr>
          <w:rFonts w:ascii="Arial" w:eastAsia="Times New Roman" w:hAnsi="Arial" w:cs="Arial"/>
          <w:color w:val="000000"/>
          <w:sz w:val="18"/>
          <w:szCs w:val="18"/>
          <w:lang w:eastAsia="es-MX"/>
        </w:rPr>
        <w:t>Que la atención de las características operativas propias de dichos contribuyentes, requiere que este órgano expida la siguiente:</w:t>
      </w:r>
    </w:p>
    <w:p w:rsidR="00FB5309" w:rsidRPr="00FB5309" w:rsidRDefault="00FB5309" w:rsidP="00FB53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5309">
        <w:rPr>
          <w:rFonts w:ascii="Times" w:eastAsia="Times New Roman" w:hAnsi="Times" w:cs="Times"/>
          <w:b/>
          <w:bCs/>
          <w:color w:val="2F2F2F"/>
          <w:sz w:val="18"/>
          <w:szCs w:val="18"/>
          <w:lang w:eastAsia="es-MX"/>
        </w:rPr>
        <w:t>RESOLUCIÓN DE FACILIDADES ADMINISTRATIVAS PARA LOS CONTRIBUYENTES DE LOS</w:t>
      </w:r>
      <w:r w:rsidRPr="00FB5309">
        <w:rPr>
          <w:rFonts w:ascii="Times New Roman" w:eastAsia="Times New Roman" w:hAnsi="Times New Roman" w:cs="Times New Roman"/>
          <w:b/>
          <w:bCs/>
          <w:color w:val="2F2F2F"/>
          <w:sz w:val="18"/>
          <w:szCs w:val="18"/>
          <w:lang w:eastAsia="es-MX"/>
        </w:rPr>
        <w:br/>
      </w:r>
      <w:r w:rsidRPr="00FB5309">
        <w:rPr>
          <w:rFonts w:ascii="Times" w:eastAsia="Times New Roman" w:hAnsi="Times" w:cs="Times"/>
          <w:b/>
          <w:bCs/>
          <w:color w:val="2F2F2F"/>
          <w:sz w:val="18"/>
          <w:szCs w:val="18"/>
          <w:lang w:eastAsia="es-MX"/>
        </w:rPr>
        <w:t>SECTORES QUE EN LA MISMA SE SEÑALAN PARA 2023</w:t>
      </w:r>
    </w:p>
    <w:p w:rsidR="00FB5309" w:rsidRPr="00FB5309" w:rsidRDefault="00FB5309" w:rsidP="00FB53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5309">
        <w:rPr>
          <w:rFonts w:ascii="Times" w:eastAsia="Times New Roman" w:hAnsi="Times" w:cs="Times"/>
          <w:b/>
          <w:bCs/>
          <w:color w:val="2F2F2F"/>
          <w:sz w:val="18"/>
          <w:szCs w:val="18"/>
          <w:lang w:eastAsia="es-MX"/>
        </w:rPr>
        <w:t>Contenido</w:t>
      </w:r>
    </w:p>
    <w:p w:rsidR="00FB5309" w:rsidRPr="00FB5309" w:rsidRDefault="00FB5309" w:rsidP="00FB5309">
      <w:pPr>
        <w:shd w:val="clear" w:color="auto" w:fill="FFFFFF"/>
        <w:spacing w:after="101" w:line="240" w:lineRule="auto"/>
        <w:ind w:hanging="106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Título 1.</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Sector Primario.</w:t>
      </w:r>
    </w:p>
    <w:p w:rsidR="00FB5309" w:rsidRPr="00FB5309" w:rsidRDefault="00FB5309" w:rsidP="00FB5309">
      <w:pPr>
        <w:shd w:val="clear" w:color="auto" w:fill="FFFFFF"/>
        <w:spacing w:after="101" w:line="240" w:lineRule="auto"/>
        <w:ind w:hanging="106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Título 2.</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Sector de Autotransporte Terrestre de Carga Federal.</w:t>
      </w:r>
    </w:p>
    <w:p w:rsidR="00FB5309" w:rsidRPr="00FB5309" w:rsidRDefault="00FB5309" w:rsidP="00FB5309">
      <w:pPr>
        <w:shd w:val="clear" w:color="auto" w:fill="FFFFFF"/>
        <w:spacing w:after="101" w:line="240" w:lineRule="auto"/>
        <w:ind w:hanging="106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Título 3.</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Sector de Autotransporte Terrestre Foráneo de Pasaje y Turismo.</w:t>
      </w:r>
    </w:p>
    <w:p w:rsidR="00FB5309" w:rsidRPr="00FB5309" w:rsidRDefault="00FB5309" w:rsidP="00FB5309">
      <w:pPr>
        <w:shd w:val="clear" w:color="auto" w:fill="FFFFFF"/>
        <w:spacing w:after="101" w:line="240" w:lineRule="auto"/>
        <w:ind w:hanging="106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Título 4.</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Sector de Autotransporte Terrestre de Carga de Materiales y Autotransporte Terrestre de Pasajeros Urbano y Suburbano.</w:t>
      </w:r>
    </w:p>
    <w:p w:rsidR="00FB5309" w:rsidRPr="00FB5309" w:rsidRDefault="00FB5309" w:rsidP="00FB53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5309">
        <w:rPr>
          <w:rFonts w:ascii="Times" w:eastAsia="Times New Roman" w:hAnsi="Times" w:cs="Times"/>
          <w:b/>
          <w:bCs/>
          <w:color w:val="2F2F2F"/>
          <w:sz w:val="18"/>
          <w:szCs w:val="18"/>
          <w:lang w:eastAsia="es-MX"/>
        </w:rPr>
        <w:t>Glosario</w:t>
      </w:r>
    </w:p>
    <w:p w:rsidR="00FB5309" w:rsidRPr="00FB5309" w:rsidRDefault="00FB5309" w:rsidP="00FB5309">
      <w:pPr>
        <w:shd w:val="clear" w:color="auto" w:fill="FFFFFF"/>
        <w:spacing w:after="101" w:line="240" w:lineRule="auto"/>
        <w:ind w:firstLine="288"/>
        <w:jc w:val="both"/>
        <w:rPr>
          <w:rFonts w:ascii="Arial" w:eastAsia="Times New Roman" w:hAnsi="Arial" w:cs="Arial"/>
          <w:color w:val="2F2F2F"/>
          <w:sz w:val="18"/>
          <w:szCs w:val="18"/>
          <w:lang w:eastAsia="es-MX"/>
        </w:rPr>
      </w:pPr>
      <w:r w:rsidRPr="00FB5309">
        <w:rPr>
          <w:rFonts w:ascii="Arial" w:eastAsia="Times New Roman" w:hAnsi="Arial" w:cs="Arial"/>
          <w:color w:val="000000"/>
          <w:sz w:val="18"/>
          <w:szCs w:val="18"/>
          <w:lang w:eastAsia="es-MX"/>
        </w:rPr>
        <w:t>Para los efectos de la presente Resolución se entiende por:</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A.</w:t>
      </w:r>
      <w:r w:rsidRPr="00FB5309">
        <w:rPr>
          <w:rFonts w:ascii="Arial" w:eastAsia="Times New Roman" w:hAnsi="Arial" w:cs="Arial"/>
          <w:color w:val="2F2F2F"/>
          <w:sz w:val="20"/>
          <w:szCs w:val="20"/>
          <w:lang w:eastAsia="es-MX"/>
        </w:rPr>
        <w:t>      </w:t>
      </w:r>
      <w:r w:rsidRPr="00FB5309">
        <w:rPr>
          <w:rFonts w:ascii="Arial" w:eastAsia="Times New Roman" w:hAnsi="Arial" w:cs="Arial"/>
          <w:b/>
          <w:bCs/>
          <w:color w:val="000000"/>
          <w:sz w:val="18"/>
          <w:szCs w:val="18"/>
          <w:lang w:eastAsia="es-MX"/>
        </w:rPr>
        <w:t>ADSC,</w:t>
      </w:r>
      <w:r w:rsidRPr="00FB5309">
        <w:rPr>
          <w:rFonts w:ascii="Arial" w:eastAsia="Times New Roman" w:hAnsi="Arial" w:cs="Arial"/>
          <w:color w:val="000000"/>
          <w:sz w:val="18"/>
          <w:szCs w:val="18"/>
          <w:lang w:eastAsia="es-MX"/>
        </w:rPr>
        <w:t> las Administraciones Desconcentradas de Servicios al Contribuyente.</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B.</w:t>
      </w:r>
      <w:r w:rsidRPr="00FB5309">
        <w:rPr>
          <w:rFonts w:ascii="Arial" w:eastAsia="Times New Roman" w:hAnsi="Arial" w:cs="Arial"/>
          <w:color w:val="2F2F2F"/>
          <w:sz w:val="20"/>
          <w:szCs w:val="20"/>
          <w:lang w:eastAsia="es-MX"/>
        </w:rPr>
        <w:t>      </w:t>
      </w:r>
      <w:r w:rsidRPr="00FB5309">
        <w:rPr>
          <w:rFonts w:ascii="Arial" w:eastAsia="Times New Roman" w:hAnsi="Arial" w:cs="Arial"/>
          <w:b/>
          <w:bCs/>
          <w:color w:val="000000"/>
          <w:sz w:val="18"/>
          <w:szCs w:val="18"/>
          <w:lang w:eastAsia="es-MX"/>
        </w:rPr>
        <w:t>CFDI,</w:t>
      </w:r>
      <w:r w:rsidRPr="00FB5309">
        <w:rPr>
          <w:rFonts w:ascii="Arial" w:eastAsia="Times New Roman" w:hAnsi="Arial" w:cs="Arial"/>
          <w:color w:val="000000"/>
          <w:sz w:val="18"/>
          <w:szCs w:val="18"/>
          <w:lang w:eastAsia="es-MX"/>
        </w:rPr>
        <w:t> el comprobante fiscal digital por Internet.</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C.</w:t>
      </w:r>
      <w:r w:rsidRPr="00FB5309">
        <w:rPr>
          <w:rFonts w:ascii="Arial" w:eastAsia="Times New Roman" w:hAnsi="Arial" w:cs="Arial"/>
          <w:color w:val="2F2F2F"/>
          <w:sz w:val="20"/>
          <w:szCs w:val="20"/>
          <w:lang w:eastAsia="es-MX"/>
        </w:rPr>
        <w:t>      </w:t>
      </w:r>
      <w:r w:rsidRPr="00FB5309">
        <w:rPr>
          <w:rFonts w:ascii="Arial" w:eastAsia="Times New Roman" w:hAnsi="Arial" w:cs="Arial"/>
          <w:b/>
          <w:bCs/>
          <w:color w:val="000000"/>
          <w:sz w:val="18"/>
          <w:szCs w:val="18"/>
          <w:lang w:eastAsia="es-MX"/>
        </w:rPr>
        <w:t>CFF,</w:t>
      </w:r>
      <w:r w:rsidRPr="00FB5309">
        <w:rPr>
          <w:rFonts w:ascii="Arial" w:eastAsia="Times New Roman" w:hAnsi="Arial" w:cs="Arial"/>
          <w:color w:val="000000"/>
          <w:sz w:val="18"/>
          <w:szCs w:val="18"/>
          <w:lang w:eastAsia="es-MX"/>
        </w:rPr>
        <w:t> el Código Fiscal de la Federación.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D.</w:t>
      </w:r>
      <w:r w:rsidRPr="00FB5309">
        <w:rPr>
          <w:rFonts w:ascii="Arial" w:eastAsia="Times New Roman" w:hAnsi="Arial" w:cs="Arial"/>
          <w:color w:val="2F2F2F"/>
          <w:sz w:val="20"/>
          <w:szCs w:val="20"/>
          <w:lang w:eastAsia="es-MX"/>
        </w:rPr>
        <w:t>      </w:t>
      </w:r>
      <w:r w:rsidRPr="00FB5309">
        <w:rPr>
          <w:rFonts w:ascii="Arial" w:eastAsia="Times New Roman" w:hAnsi="Arial" w:cs="Arial"/>
          <w:b/>
          <w:bCs/>
          <w:color w:val="000000"/>
          <w:sz w:val="18"/>
          <w:szCs w:val="18"/>
          <w:lang w:eastAsia="es-MX"/>
        </w:rPr>
        <w:t>CURP,</w:t>
      </w:r>
      <w:r w:rsidRPr="00FB5309">
        <w:rPr>
          <w:rFonts w:ascii="Arial" w:eastAsia="Times New Roman" w:hAnsi="Arial" w:cs="Arial"/>
          <w:color w:val="000000"/>
          <w:sz w:val="18"/>
          <w:szCs w:val="18"/>
          <w:lang w:eastAsia="es-MX"/>
        </w:rPr>
        <w:t> la Clave Única de Registro de Población a 18 posiciones.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E.</w:t>
      </w:r>
      <w:r w:rsidRPr="00FB5309">
        <w:rPr>
          <w:rFonts w:ascii="Arial" w:eastAsia="Times New Roman" w:hAnsi="Arial" w:cs="Arial"/>
          <w:color w:val="2F2F2F"/>
          <w:sz w:val="20"/>
          <w:szCs w:val="20"/>
          <w:lang w:eastAsia="es-MX"/>
        </w:rPr>
        <w:t>       </w:t>
      </w:r>
      <w:r w:rsidRPr="00FB5309">
        <w:rPr>
          <w:rFonts w:ascii="Arial" w:eastAsia="Times New Roman" w:hAnsi="Arial" w:cs="Arial"/>
          <w:b/>
          <w:bCs/>
          <w:color w:val="000000"/>
          <w:sz w:val="18"/>
          <w:szCs w:val="18"/>
          <w:lang w:eastAsia="es-MX"/>
        </w:rPr>
        <w:t>IMSS,</w:t>
      </w:r>
      <w:r w:rsidRPr="00FB5309">
        <w:rPr>
          <w:rFonts w:ascii="Arial" w:eastAsia="Times New Roman" w:hAnsi="Arial" w:cs="Arial"/>
          <w:color w:val="000000"/>
          <w:sz w:val="18"/>
          <w:szCs w:val="18"/>
          <w:lang w:eastAsia="es-MX"/>
        </w:rPr>
        <w:t> el Instituto Mexicano del Seguro Social.</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F.</w:t>
      </w:r>
      <w:r w:rsidRPr="00FB5309">
        <w:rPr>
          <w:rFonts w:ascii="Arial" w:eastAsia="Times New Roman" w:hAnsi="Arial" w:cs="Arial"/>
          <w:color w:val="2F2F2F"/>
          <w:sz w:val="20"/>
          <w:szCs w:val="20"/>
          <w:lang w:eastAsia="es-MX"/>
        </w:rPr>
        <w:t>       </w:t>
      </w:r>
      <w:r w:rsidRPr="00FB5309">
        <w:rPr>
          <w:rFonts w:ascii="Arial" w:eastAsia="Times New Roman" w:hAnsi="Arial" w:cs="Arial"/>
          <w:b/>
          <w:bCs/>
          <w:color w:val="000000"/>
          <w:sz w:val="18"/>
          <w:szCs w:val="18"/>
          <w:lang w:eastAsia="es-MX"/>
        </w:rPr>
        <w:t>ISR,</w:t>
      </w:r>
      <w:r w:rsidRPr="00FB5309">
        <w:rPr>
          <w:rFonts w:ascii="Arial" w:eastAsia="Times New Roman" w:hAnsi="Arial" w:cs="Arial"/>
          <w:color w:val="000000"/>
          <w:sz w:val="18"/>
          <w:szCs w:val="18"/>
          <w:lang w:eastAsia="es-MX"/>
        </w:rPr>
        <w:t> el impuesto sobre la renta.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G.</w:t>
      </w:r>
      <w:r w:rsidRPr="00FB5309">
        <w:rPr>
          <w:rFonts w:ascii="Arial" w:eastAsia="Times New Roman" w:hAnsi="Arial" w:cs="Arial"/>
          <w:color w:val="2F2F2F"/>
          <w:sz w:val="20"/>
          <w:szCs w:val="20"/>
          <w:lang w:eastAsia="es-MX"/>
        </w:rPr>
        <w:t>      </w:t>
      </w:r>
      <w:r w:rsidRPr="00FB5309">
        <w:rPr>
          <w:rFonts w:ascii="Arial" w:eastAsia="Times New Roman" w:hAnsi="Arial" w:cs="Arial"/>
          <w:b/>
          <w:bCs/>
          <w:color w:val="000000"/>
          <w:sz w:val="18"/>
          <w:szCs w:val="18"/>
          <w:lang w:eastAsia="es-MX"/>
        </w:rPr>
        <w:t>IVA,</w:t>
      </w:r>
      <w:r w:rsidRPr="00FB5309">
        <w:rPr>
          <w:rFonts w:ascii="Arial" w:eastAsia="Times New Roman" w:hAnsi="Arial" w:cs="Arial"/>
          <w:color w:val="000000"/>
          <w:sz w:val="18"/>
          <w:szCs w:val="18"/>
          <w:lang w:eastAsia="es-MX"/>
        </w:rPr>
        <w:t> el impuesto al valor agregado.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H.</w:t>
      </w:r>
      <w:r w:rsidRPr="00FB5309">
        <w:rPr>
          <w:rFonts w:ascii="Arial" w:eastAsia="Times New Roman" w:hAnsi="Arial" w:cs="Arial"/>
          <w:color w:val="2F2F2F"/>
          <w:sz w:val="20"/>
          <w:szCs w:val="20"/>
          <w:lang w:eastAsia="es-MX"/>
        </w:rPr>
        <w:t>      </w:t>
      </w:r>
      <w:r w:rsidRPr="00FB5309">
        <w:rPr>
          <w:rFonts w:ascii="Arial" w:eastAsia="Times New Roman" w:hAnsi="Arial" w:cs="Arial"/>
          <w:b/>
          <w:bCs/>
          <w:color w:val="000000"/>
          <w:sz w:val="18"/>
          <w:szCs w:val="18"/>
          <w:lang w:eastAsia="es-MX"/>
        </w:rPr>
        <w:t>LIF,</w:t>
      </w:r>
      <w:r w:rsidRPr="00FB5309">
        <w:rPr>
          <w:rFonts w:ascii="Arial" w:eastAsia="Times New Roman" w:hAnsi="Arial" w:cs="Arial"/>
          <w:color w:val="000000"/>
          <w:sz w:val="18"/>
          <w:szCs w:val="18"/>
          <w:lang w:eastAsia="es-MX"/>
        </w:rPr>
        <w:t> la Ley de Ingresos de la Federación para el Ejercicio Fiscal de 2023.</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lastRenderedPageBreak/>
        <w:t>I.</w:t>
      </w:r>
      <w:r w:rsidRPr="00FB5309">
        <w:rPr>
          <w:rFonts w:ascii="Arial" w:eastAsia="Times New Roman" w:hAnsi="Arial" w:cs="Arial"/>
          <w:color w:val="2F2F2F"/>
          <w:sz w:val="20"/>
          <w:szCs w:val="20"/>
          <w:lang w:eastAsia="es-MX"/>
        </w:rPr>
        <w:t>        </w:t>
      </w:r>
      <w:r w:rsidRPr="00FB5309">
        <w:rPr>
          <w:rFonts w:ascii="Arial" w:eastAsia="Times New Roman" w:hAnsi="Arial" w:cs="Arial"/>
          <w:b/>
          <w:bCs/>
          <w:color w:val="000000"/>
          <w:sz w:val="18"/>
          <w:szCs w:val="18"/>
          <w:lang w:eastAsia="es-MX"/>
        </w:rPr>
        <w:t>RFC,</w:t>
      </w:r>
      <w:r w:rsidRPr="00FB5309">
        <w:rPr>
          <w:rFonts w:ascii="Arial" w:eastAsia="Times New Roman" w:hAnsi="Arial" w:cs="Arial"/>
          <w:color w:val="000000"/>
          <w:sz w:val="18"/>
          <w:szCs w:val="18"/>
          <w:lang w:eastAsia="es-MX"/>
        </w:rPr>
        <w:t> el Registro Federal de Contribuyentes.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J.</w:t>
      </w:r>
      <w:r w:rsidRPr="00FB5309">
        <w:rPr>
          <w:rFonts w:ascii="Arial" w:eastAsia="Times New Roman" w:hAnsi="Arial" w:cs="Arial"/>
          <w:color w:val="2F2F2F"/>
          <w:sz w:val="20"/>
          <w:szCs w:val="20"/>
          <w:lang w:eastAsia="es-MX"/>
        </w:rPr>
        <w:t>       </w:t>
      </w:r>
      <w:r w:rsidRPr="00FB5309">
        <w:rPr>
          <w:rFonts w:ascii="Arial" w:eastAsia="Times New Roman" w:hAnsi="Arial" w:cs="Arial"/>
          <w:b/>
          <w:bCs/>
          <w:color w:val="000000"/>
          <w:sz w:val="18"/>
          <w:szCs w:val="18"/>
          <w:lang w:eastAsia="es-MX"/>
        </w:rPr>
        <w:t>RMF,</w:t>
      </w:r>
      <w:r w:rsidRPr="00FB5309">
        <w:rPr>
          <w:rFonts w:ascii="Arial" w:eastAsia="Times New Roman" w:hAnsi="Arial" w:cs="Arial"/>
          <w:color w:val="000000"/>
          <w:sz w:val="18"/>
          <w:szCs w:val="18"/>
          <w:lang w:eastAsia="es-MX"/>
        </w:rPr>
        <w:t> la Resolución Miscelánea Fiscal para 2023.</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K.</w:t>
      </w:r>
      <w:r w:rsidRPr="00FB5309">
        <w:rPr>
          <w:rFonts w:ascii="Arial" w:eastAsia="Times New Roman" w:hAnsi="Arial" w:cs="Arial"/>
          <w:color w:val="2F2F2F"/>
          <w:sz w:val="20"/>
          <w:szCs w:val="20"/>
          <w:lang w:eastAsia="es-MX"/>
        </w:rPr>
        <w:t>      </w:t>
      </w:r>
      <w:r w:rsidRPr="00FB5309">
        <w:rPr>
          <w:rFonts w:ascii="Arial" w:eastAsia="Times New Roman" w:hAnsi="Arial" w:cs="Arial"/>
          <w:b/>
          <w:bCs/>
          <w:color w:val="000000"/>
          <w:sz w:val="18"/>
          <w:szCs w:val="18"/>
          <w:lang w:eastAsia="es-MX"/>
        </w:rPr>
        <w:t>SAT,</w:t>
      </w:r>
      <w:r w:rsidRPr="00FB5309">
        <w:rPr>
          <w:rFonts w:ascii="Arial" w:eastAsia="Times New Roman" w:hAnsi="Arial" w:cs="Arial"/>
          <w:color w:val="000000"/>
          <w:sz w:val="18"/>
          <w:szCs w:val="18"/>
          <w:lang w:eastAsia="es-MX"/>
        </w:rPr>
        <w:t> el Servicio de Administración Tributaria.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L.</w:t>
      </w:r>
      <w:r w:rsidRPr="00FB5309">
        <w:rPr>
          <w:rFonts w:ascii="Arial" w:eastAsia="Times New Roman" w:hAnsi="Arial" w:cs="Arial"/>
          <w:color w:val="2F2F2F"/>
          <w:sz w:val="20"/>
          <w:szCs w:val="20"/>
          <w:lang w:eastAsia="es-MX"/>
        </w:rPr>
        <w:t>       </w:t>
      </w:r>
      <w:r w:rsidRPr="00FB5309">
        <w:rPr>
          <w:rFonts w:ascii="Arial" w:eastAsia="Times New Roman" w:hAnsi="Arial" w:cs="Arial"/>
          <w:b/>
          <w:bCs/>
          <w:color w:val="000000"/>
          <w:sz w:val="18"/>
          <w:szCs w:val="18"/>
          <w:lang w:eastAsia="es-MX"/>
        </w:rPr>
        <w:t>UMA, </w:t>
      </w:r>
      <w:r w:rsidRPr="00FB5309">
        <w:rPr>
          <w:rFonts w:ascii="Arial" w:eastAsia="Times New Roman" w:hAnsi="Arial" w:cs="Arial"/>
          <w:color w:val="000000"/>
          <w:sz w:val="18"/>
          <w:szCs w:val="18"/>
          <w:lang w:eastAsia="es-MX"/>
        </w:rPr>
        <w:t>la Unidad de Medida y Actualización.</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Disposición preliminar</w:t>
      </w:r>
    </w:p>
    <w:p w:rsidR="00FB5309" w:rsidRPr="00FB5309" w:rsidRDefault="00FB5309" w:rsidP="00FB5309">
      <w:pPr>
        <w:shd w:val="clear" w:color="auto" w:fill="FFFFFF"/>
        <w:spacing w:after="101" w:line="240" w:lineRule="auto"/>
        <w:ind w:firstLine="288"/>
        <w:jc w:val="both"/>
        <w:rPr>
          <w:rFonts w:ascii="Arial" w:eastAsia="Times New Roman" w:hAnsi="Arial" w:cs="Arial"/>
          <w:color w:val="2F2F2F"/>
          <w:sz w:val="18"/>
          <w:szCs w:val="18"/>
          <w:lang w:eastAsia="es-MX"/>
        </w:rPr>
      </w:pPr>
      <w:r w:rsidRPr="00FB5309">
        <w:rPr>
          <w:rFonts w:ascii="Arial" w:eastAsia="Times New Roman" w:hAnsi="Arial" w:cs="Arial"/>
          <w:color w:val="000000"/>
          <w:sz w:val="18"/>
          <w:szCs w:val="18"/>
          <w:lang w:eastAsia="es-MX"/>
        </w:rPr>
        <w:t>La presente Resolución contiene las facilidades administrativas aplicables a los contribuyentes de cada uno de los sectores que se señalan en los Títulos de la misma.</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Título 1. Sector Primario</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Definición de actividades ganaderas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1.1.</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Para los efectos de los artículos 74 y 113-E, párrafos noveno y décimo de la Ley del ISR, según corresponda, los contribuyentes dedicados exclusivamente a actividades ganaderas considerarán como tales las consistentes en la cría y engorda de ganado, aves de corral y animales, así como la primera enajenación de sus productos que no hayan sido objeto de transformación industrial.</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También se considerará actividad ganadera la adquisición de la primera enajenación de ganado a que se refiere el párrafo anterior, cuando los adquirentes realicen exclusivamente actividades de engorda de ganado, siempre y cuando el proceso de engorda se realice en un periodo mayor a tres meses contados a partir de la adquisición.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Lo dispuesto en esta regla en ningún caso resultará aplicable a los contribuyentes que no sean propietarios del ganado, aves de corral y animales a que se refiere la misma.</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Facilidades de comprobación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1.2.</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Para los efectos de la Ley del ISR, los contribuyentes dedicados exclusivamente a las actividades agrícolas, silvícolas, ganaderas o pesqueras, que cumplan con sus obligaciones fiscales en los términos del artículo 74 de la Ley del ISR, podrán deducir la suma de las erogaciones que realicen por concepto de mano de obra de trabajadores eventuales del campo, alimentación de ganado y gastos menores, hasta por el 10 por ciento del total de sus ingresos propios, sin exceder de $800,000.00 (ochocientos mil pesos 00/100 M.N.) durante el ejercicio, siempre que para ello cumplan, al menos, con lo siguiente:</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Que el gasto haya sido efectivamente erogado en el ejercicio fiscal de que se trate y esté vinculado con la actividad.</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II.</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Que se haya registrado en su contabilidad por concepto y en forma acumulativa durante el ejercicio fiscal.</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III.</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Que los gastos se comprueben con documentación que contenga al menos la siguiente información:</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a)</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Nombre, denominación o razón social y domicilio, del enajenante de los bienes, del prestador de los servicios o del trabajador eventual del campo.</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b)</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Lugar y fecha de expedición.</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c)</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Cantidad y clase de mercancías, descripción del servicio o tipo de trabajo eventual.</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d)</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Valor unitario consignado en número e importe total consignado en número o letra.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En el caso de que la suma de las erogaciones exceda del por ciento o cantidad citados en el primer párrafo de esta regla, la cantidad que se podrá deducir conforme a esta disposición se determinará manteniendo la misma estructura porcentual de cada una de ellas.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Cada uno de los gastos menores a que se refiere el primer párrafo de esta regla no podrá exceder de $5,000.00 (cinco mil pesos 00/100 M.N.).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Para determinar el monto total de los gastos menores sujetos a la facilidad de comprobación a que se refiere esta regla, se deberá considerar la proporción que estos gastos representen en el ejercicio fiscal de que se trate, respecto de la suma del total de sus erogaciones por concepto de mano de obra de trabajadores eventuales del campo, alimentación de ganado y gastos menores, del mismo ejercicio fiscal, siempre que esta proporción no sea mayor a la que se determine conforme a esta regla para el ejercicio fiscal inmediato anterior. En el caso de que la proporción del ejercicio fiscal de que se trate resulte mayor, se considerará la proporción del ejercicio fiscal inmediato anterior.</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lastRenderedPageBreak/>
        <w:t>         </w:t>
      </w:r>
      <w:r w:rsidRPr="00FB5309">
        <w:rPr>
          <w:rFonts w:ascii="Arial" w:eastAsia="Times New Roman" w:hAnsi="Arial" w:cs="Arial"/>
          <w:color w:val="000000"/>
          <w:sz w:val="18"/>
          <w:szCs w:val="18"/>
          <w:lang w:eastAsia="es-MX"/>
        </w:rPr>
        <w:t>Al monto total de gastos menores determinado conforme al párrafo anterior, se le aplicará el factor que resulte de restar a la unidad, la proporción menor a que se refiere el párrafo anterior. El resultado obtenido será el monto máximo de los gastos menores que se podrá deducir en los términos de esta regla.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la presente Resolución.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Los contribuyentes personas morales deberán informar en la declaración anual del ISR, el monto de la deducción que corresponda, en el campo "Facilidades administrativas y estímulos deducibles" en las opciones "Deducción de gastos menores sin requisitos fiscales" y "Deducción de mano de obra de trabajadores eventuales del campo y alimentación de ganado".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La deducción prevista en el primer párrafo de esta regla no incluirá los gastos que realicen los contribuyentes por adquisición de combustibles para realizar su actividad.</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Pagos provisionales semestrales y del ejercicio fiscal 2023</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1.3.</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Para los efectos del artículo 74 de la Ley del ISR, los contribuyentes que deban cumplir con sus obligaciones fiscales conforme al régimen establecido en el Título II, Capítulo VIII del citado ordenamiento, podrán optar por realizar pagos provisionales semestrales del ISR, siempre que las retenciones de este impuesto que efectúen a terceros y las declaraciones correspondientes al IVA, las enteren y presenten en los mismos plazos que realicen sus pagos provisionales del ISR.</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Las personas morales que por el ejercicio fiscal de 2023 opten por realizar pagos provisionales y efectuar el entero del ISR retenido a terceros, así como la presentación de la declaración correspondiente de IVA en forma semestral, deberán presentar el aviso de actualización de actividades económicas y obligaciones fiscales ante las autoridades fiscales a más tardar dentro de los treinta días siguientes a la entrada en vigor de la presente Resolución, en términos de lo establecido en el artículo 30, fracción V del Reglamento del CFF y en la ficha de trámite 71/CFF "Aviso de actualización de actividades económicas y obligaciones", contenida en el Anexo 1-A de la RMF. Los contribuyentes que por ejercicios anteriores ya hubieran presentado el aviso de opción para presentar sus pagos provisionales relativos al ISR y al IVA en forma semestral, no deberán presentar el aviso correspondiente hasta en tanto no cambien la opción elegida.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Las personas morales para determinar los pagos provisionales del ISR del ejercicio fiscal de 2023, en lugar de aplicar lo establecido en el artículo 74 de la Ley del ISR, podrán determinarlos aplicando al ingreso acumulable del periodo de que se trate, el coeficiente de utilidad que corresponda en los términos del artículo 14 de la citada Ley, considerando el total de sus ingresos. Una vez ejercida la opción a que se refiere esta regla, la misma no podrá variarse durante el ejercicio fiscal que corresponda.</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Retención del ISR a trabajadores eventuales del campo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1.4.</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 xml:space="preserve">Los contribuyentes dedicados exclusivamente a las actividades agrícolas, silvícolas, ganaderas o pesqueras, que cumplan con sus obligaciones fiscales en los términos de los artículos 74 y 113-E, párrafos noveno y décimo de la Ley del ISR, según corresponda, para los efectos del cumplimiento de las obligaciones establecidas en las disposiciones fiscales en materia de retenciones del ISR por los pagos efectuados a sus trabajadores eventuales del campo, en lugar de aplicar las disposiciones correspondientes al pago de salarios, podrán enterar el 4 por ciento por concepto de retenciones del ISR, correspondiente a los pagos efectivamente realizados por concepto de mano de obra, siempre que los pagos efectuados a cada trabajador eventual del campo no excedan al día de $625.00 (seiscientos veinticinco pesos 00/100 M.N.) en el área geográfica de la Zona Libre de la Frontera Norte definida de conformidad con el Resolutivo Primero de la Resolución del H. Consejo de Representantes de la Comisión Nacional de los Salarios Mínimos que fija los salarios mínimos generales y profesionales que habrán de regir a partir del 1 de enero de 2023, publicada en el Diario Oficial de la Federación el 7 de diciembre de 2022, y de $415.00 (cuatrocientos quince pesos 00/100 M.N.) en el resto del país, en cuyo caso, deberán elaborar y presentar a más tardar el 15 de febrero de 2024, aviso que contenga una relación individualizada de dichos trabajadores que indique el monto de las cantidades que les fueron pagadas en el ejercicio anterior, así como del impuesto retenido, en términos de la ficha de trámite 92/ISR "Aviso que presentan los contribuyentes dedicados a las actividades agrícolas, ganaderas o de pesca que ejercen la opción de enterar el 4 por ciento por concepto de retenciones de ISR" </w:t>
      </w:r>
      <w:r w:rsidRPr="00FB5309">
        <w:rPr>
          <w:rFonts w:ascii="Arial" w:eastAsia="Times New Roman" w:hAnsi="Arial" w:cs="Arial"/>
          <w:color w:val="000000"/>
          <w:sz w:val="18"/>
          <w:szCs w:val="18"/>
          <w:lang w:eastAsia="es-MX"/>
        </w:rPr>
        <w:lastRenderedPageBreak/>
        <w:t>contenida en el Anexo 1-A de la RMF, además deberán emitir el CFDI y su complemento por concepto de nómina correspondiente.</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Los contribuyentes a que se refiere esta regla, que por sus trabajadores eventuales del campo se hayan adherido al "Decreto por el que se otorgan beneficios fiscales a los patrones y trabajadores eventuales del campo", publicado en el Diario Oficial de la Federación el 24 de julio de 2007 y modificado mediante los diversos publicados en el mismo órgano de difusión oficial el 24 de enero y el 30 de diciembre de 2008; el 28 de diciembre de 2010; el 20 de diciembre de 2012; el 30 de diciembre de 2013; el 29 de diciembre de 2014; el 29 de diciembre de 2016; el 31 de diciembre de 2018; el 30 de diciembre de 2020 y el 20 de diciembre de 2022, en lugar de aplicar lo dispuesto en el primer párrafo de esta regla, podrán considerar el salario base de cotización que manifiesten para pagar las cuotas obrero patronales al IMSS en los términos del citado Decreto para el ejercicio 2023, para determinar la retención a que se refiere el párrafo anterior.</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Por lo que se refiere a los pagos realizados a los trabajadores distintos de los señalados en esta regla, se estará a lo dispuesto en la Ley del ISR.</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Liquidaciones de distribuidores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1.5.</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Cuando los contribuyentes dedicados exclusivamente a las actividades agrícolas, silvícolas, ganaderas o pesqueras, que cumplan con sus obligaciones fiscales en los términos del artículo 74 de la Ley del ISR, operen a través de distribuidores residentes en el extranjero sin establecimiento permanente en México o de uniones de crédito en el país, las liquidaciones que se obtengan de dichos distribuidores harán las veces de comprobantes de ventas, siempre que los contribuyentes referidos emitan el comprobante fiscal o el CFDI correspondiente, según corresponda. El productor por cuenta del cual el distribuidor realice las operaciones correspondientes deberá conservar como parte de su contabilidad la copia de la liquidación.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Cuando dicha liquidación consigne gastos realizados por el distribuidor, por cuenta del contribuyente, la misma hará las veces de comprobante fiscal de tales erogaciones, siempre que éstas estén consideradas como deducciones y cumplan con los requisitos de deducibilidad, establecidos en las disposiciones fiscales aplicables para dichas erogaciones. Los únicos gastos que serán deducibles conforme a este párrafo, son aquellos consignados en dicha liquidación.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18"/>
          <w:szCs w:val="18"/>
          <w:lang w:eastAsia="es-MX"/>
        </w:rPr>
        <w:t> </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En las liquidaciones emitidas por distribuidores residentes en el extranjero, en sustitución de los datos relativos al RFC, se deberán consignar los datos correspondientes al nombre, denominación o razón social, domicilio fiscal y, en su caso, número de identificación fiscal.</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 xml:space="preserve">Cuando el distribuidor residente en territorio nacional realice gastos por cuenta del contribuyente podrá emitir el CFDI con la clave en el RFC de éste, a fin de que sean considerados como deducciones, siempre que cumplan con los requisitos establecidos en las disposiciones fiscales aplicables para dichas erogaciones; cuando se opte por lo dispuesto en este párrafo, los únicos gastos que serán deducibles, son aquellos que consten en dicho CFDI. Tratándose de pagos realizados en el extranjero, los comprobantes deberán reunir los requisitos señalados en la regla 2.7.1.14. </w:t>
      </w:r>
      <w:proofErr w:type="gramStart"/>
      <w:r w:rsidRPr="00FB5309">
        <w:rPr>
          <w:rFonts w:ascii="Arial" w:eastAsia="Times New Roman" w:hAnsi="Arial" w:cs="Arial"/>
          <w:color w:val="000000"/>
          <w:sz w:val="18"/>
          <w:szCs w:val="18"/>
          <w:lang w:eastAsia="es-MX"/>
        </w:rPr>
        <w:t>de</w:t>
      </w:r>
      <w:proofErr w:type="gramEnd"/>
      <w:r w:rsidRPr="00FB5309">
        <w:rPr>
          <w:rFonts w:ascii="Arial" w:eastAsia="Times New Roman" w:hAnsi="Arial" w:cs="Arial"/>
          <w:color w:val="000000"/>
          <w:sz w:val="18"/>
          <w:szCs w:val="18"/>
          <w:lang w:eastAsia="es-MX"/>
        </w:rPr>
        <w:t xml:space="preserve"> la RMF.</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Obligaciones de las personas morales de derecho agrario exentas del ISR</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1.6.</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Para los efectos del artículo 74 de la Ley del ISR, tratándose de personas morales de derecho agrario que deban cumplir con sus obligaciones fiscales conforme al régimen establecido en el Título II, Capítulo VIII del citado ordenamiento, cuyos ingresos en el ejercicio fiscal no excedan</w:t>
      </w:r>
      <w:r w:rsidRPr="00FB5309">
        <w:rPr>
          <w:rFonts w:ascii="Arial" w:eastAsia="Times New Roman" w:hAnsi="Arial" w:cs="Arial"/>
          <w:color w:val="2F2F2F"/>
          <w:sz w:val="18"/>
          <w:szCs w:val="18"/>
          <w:lang w:eastAsia="es-MX"/>
        </w:rPr>
        <w:t> </w:t>
      </w:r>
      <w:r w:rsidRPr="00FB5309">
        <w:rPr>
          <w:rFonts w:ascii="Arial" w:eastAsia="Times New Roman" w:hAnsi="Arial" w:cs="Arial"/>
          <w:color w:val="000000"/>
          <w:sz w:val="18"/>
          <w:szCs w:val="18"/>
          <w:lang w:eastAsia="es-MX"/>
        </w:rPr>
        <w:t>de 20 veces el valor anual de la UMA por cada uno de sus integrantes, sin exceder en su conjunto de 200 veces el valor anual de la UMA, no estarán obligados a presentar declaraciones de pago provisional ni anual del ISR por los ingresos propios de su actividad, incluyendo las declaraciones de información por las cuales no se realiza el pago, así como las correspondientes al IVA. Tratándose de ejidos y comunidades, no será aplicable el límite de 200 veces el valor anual de la UMA.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 xml:space="preserve">La facilidad prevista en el párrafo anterior no será aplicable a los contribuyentes cuyos ingresos excedan de los </w:t>
      </w:r>
      <w:proofErr w:type="gramStart"/>
      <w:r w:rsidRPr="00FB5309">
        <w:rPr>
          <w:rFonts w:ascii="Arial" w:eastAsia="Times New Roman" w:hAnsi="Arial" w:cs="Arial"/>
          <w:color w:val="000000"/>
          <w:sz w:val="18"/>
          <w:szCs w:val="18"/>
          <w:lang w:eastAsia="es-MX"/>
        </w:rPr>
        <w:t>limites</w:t>
      </w:r>
      <w:proofErr w:type="gramEnd"/>
      <w:r w:rsidRPr="00FB5309">
        <w:rPr>
          <w:rFonts w:ascii="Arial" w:eastAsia="Times New Roman" w:hAnsi="Arial" w:cs="Arial"/>
          <w:color w:val="000000"/>
          <w:sz w:val="18"/>
          <w:szCs w:val="18"/>
          <w:lang w:eastAsia="es-MX"/>
        </w:rPr>
        <w:t xml:space="preserve"> señalados, por lo que deberán presentar la totalidad de las declaraciones correspondientes al ejercicio de que se trate.</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Opción de facilidades para personas morales que no realicen actividades por cuenta de sus</w:t>
      </w:r>
      <w:r w:rsidRPr="00FB5309">
        <w:rPr>
          <w:rFonts w:ascii="Arial" w:eastAsia="Times New Roman" w:hAnsi="Arial" w:cs="Arial"/>
          <w:color w:val="2F2F2F"/>
          <w:sz w:val="18"/>
          <w:szCs w:val="18"/>
          <w:lang w:eastAsia="es-MX"/>
        </w:rPr>
        <w:br/>
      </w:r>
      <w:r w:rsidRPr="00FB5309">
        <w:rPr>
          <w:rFonts w:ascii="Arial" w:eastAsia="Times New Roman" w:hAnsi="Arial" w:cs="Arial"/>
          <w:b/>
          <w:bCs/>
          <w:color w:val="000000"/>
          <w:sz w:val="18"/>
          <w:szCs w:val="18"/>
          <w:lang w:eastAsia="es-MX"/>
        </w:rPr>
        <w:t>integrantes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1.7.</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Las personas morales dedicadas exclusivamente a actividades agrícolas, silvícolas, ganaderas o pesqueras, que no realicen las actividades empresariales por cuenta de sus integrantes, podrán aplicar las facilidades a que se refieren las reglas anteriores, siempre que tributen en el Régimen de Actividades Agrícolas, Ganaderas, Silvícolas y Pesqueras a que se refiere el Título II, Capítulo VIII de la Ley del ISR.</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No obligación de pago mediante cheque nominativo, tarjetas o monederos electrónicos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lastRenderedPageBreak/>
        <w:t>1.8.</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Las personas físicas o morales que efectúen pagos de erogaciones a contribuyentes dedicados exclusivamente a actividades agrícolas, silvícolas, ganaderas o pesqueras, cuyo monto no exceda de $5,000.00 (cinco mil pesos 00/100 M.N.) a una misma persona en un mismo mes de calendario, estarán liberadas de la obligación de pagarlas con cheque nominativo del contribuyente; tarjeta de crédito, de débito o de servicios, o a través de los monederos electrónicos que al efecto autorice el SAT.</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Adquisición de combustibles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1.9.</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Los contribuyentes dedicados exclusivamente a las actividades agrícolas, silvícolas, ganaderas o pesqueras, que cumplan con sus obligaciones fiscales en los términos de los artículos 74 y 113-E, párrafos noveno y décimo de la Ley del ISR, según corresponda, considerarán cumplida la obligación a que se refiere el artículo 27, fracción III, segundo párrafo de la Ley del ISR, cuando los pagos por consumo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 y en el comprobante fiscal conste la información del permiso vigente, expedido en los términos de la Ley de Hidrocarburos al proveedor del combustible y que, en su caso, dicho permiso no se encuentre suspendido al momento de la expedición del comprobante fiscal.</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Impuesto al valor agregado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1.10.</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Para los efectos del artículo 75 de la Ley del ISR, las personas morales</w:t>
      </w:r>
      <w:r w:rsidRPr="00FB5309">
        <w:rPr>
          <w:rFonts w:ascii="Arial" w:eastAsia="Times New Roman" w:hAnsi="Arial" w:cs="Arial"/>
          <w:b/>
          <w:bCs/>
          <w:color w:val="000000"/>
          <w:sz w:val="18"/>
          <w:szCs w:val="18"/>
          <w:lang w:eastAsia="es-MX"/>
        </w:rPr>
        <w:t> </w:t>
      </w:r>
      <w:r w:rsidRPr="00FB5309">
        <w:rPr>
          <w:rFonts w:ascii="Arial" w:eastAsia="Times New Roman" w:hAnsi="Arial" w:cs="Arial"/>
          <w:color w:val="000000"/>
          <w:sz w:val="18"/>
          <w:szCs w:val="18"/>
          <w:lang w:eastAsia="es-MX"/>
        </w:rPr>
        <w:t>dedicadas exclusivamente a actividades agrícolas, ganaderas, silvícolas o pesqueras, que cumplan con sus obligaciones en los términos del artículo 74 de la citada ley, podrán cumplir con las obligaciones fiscales en materia del IVA por cuenta de cada uno de sus integrantes, aplicando lo dispuesto en la Ley del IVA.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Asimismo, deberán emitir la liquidación a sus integrantes a través de un CFDI de retenciones e información de pagos, con los siguientes requisitos:</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Denominación o razón social, domicilio fiscal y clave en el RFC de la persona moral, así como el número de folio consecutivo.</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II.</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Lugar y fecha de expedición.</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III.</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Nombre del integrante al que se le expida, su clave en el RFC o, en su caso, la CURP, ubicación de su negocio o domicilio y firma del mismo o de quien reciba el documento.</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IV.</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Descripción global de los conceptos de los ingresos, deducciones y, en su caso, de los impuestos y retenciones, que le correspondan al integrante de que se trate.</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Las personas morales a que se refiere esta regla deberán expedir el CFDI de retenciones e información de pagos, al cual se le deberá incorporar el "Complemento de Liquidación", que al efecto publique el SAT en su portal de Internet. En dicho CFDI además, deberán asentar la información correspondiente al valor de actividades, el IVA que se traslada, el que les hayan trasladado, así como, en su caso, el pagado en la importación.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Las personas morales que cumplan con las obligaciones fiscales por cuenta de sus integrantes, presentarán las declaraciones correspondientes al IVA en forma global por sus operaciones y las de sus integrantes, por las actividades empresariales que se realicen a través de la persona moral.</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Ingresos de la persona moral</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1.11.</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En los términos del artículo 74, décimo tercer párrafo de la Ley del ISR, las sociedades o asociaciones de productores, así como las demás personas morales, que se dediquen exclusivamente a las actividades agrícolas, ganaderas, silvícolas o pesqueras, constituidas exclusivamente por socios o asociados personas físicas, y que los ingresos de la persona moral en el ejercicio, por cada socio, no excedan de 423 veces el valor anual de la UMA, sin exceder en su totalidad de 4,230 veces el valor anual de la UMA, podrán reducir el impuesto determinado conforme al citado artículo 74, en un 30 por ciento.</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Información con proveedores del IVA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1.12.</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Para los efectos de la obligación a que se refiere el artículo 32, fracción VIII de la Ley del IVA, la información podrá presentarse en los mismos plazos en los que realicen los pagos provisionales del ISR. Tratándose de personas morales a que se refiere el artículo 74 de la Ley del ISR que cumplan con las obligaciones fiscales por cuenta de sus integrantes, presentarán la información a que se refiere esta regla en forma global por sus operaciones y las de sus integrantes, por las actividades empresariales que se realicen a través de la persona moral.</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FB5309">
        <w:rPr>
          <w:rFonts w:ascii="Arial" w:eastAsia="Times New Roman" w:hAnsi="Arial" w:cs="Arial"/>
          <w:b/>
          <w:bCs/>
          <w:color w:val="000000"/>
          <w:sz w:val="18"/>
          <w:szCs w:val="18"/>
          <w:lang w:eastAsia="es-MX"/>
        </w:rPr>
        <w:t>Acreditamiento</w:t>
      </w:r>
      <w:proofErr w:type="spellEnd"/>
      <w:r w:rsidRPr="00FB5309">
        <w:rPr>
          <w:rFonts w:ascii="Arial" w:eastAsia="Times New Roman" w:hAnsi="Arial" w:cs="Arial"/>
          <w:b/>
          <w:bCs/>
          <w:color w:val="000000"/>
          <w:sz w:val="18"/>
          <w:szCs w:val="18"/>
          <w:lang w:eastAsia="es-MX"/>
        </w:rPr>
        <w:t xml:space="preserve"> de estímulos fiscales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lastRenderedPageBreak/>
        <w:t>1.13.</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 xml:space="preserve">Los contribuyentes dedicados exclusivamente a las actividades agrícolas, silvícolas, ganaderas o pesqueras, que cumplan con sus obligaciones fiscales en los términos del artículo 74 de la Ley del ISR, que obtengan en el ejercicio fiscal ingresos totales anuales para los efectos del ISR menores a 60 millones de pesos, podrán efectuar el </w:t>
      </w:r>
      <w:proofErr w:type="spellStart"/>
      <w:r w:rsidRPr="00FB5309">
        <w:rPr>
          <w:rFonts w:ascii="Arial" w:eastAsia="Times New Roman" w:hAnsi="Arial" w:cs="Arial"/>
          <w:color w:val="000000"/>
          <w:sz w:val="18"/>
          <w:szCs w:val="18"/>
          <w:lang w:eastAsia="es-MX"/>
        </w:rPr>
        <w:t>acreditamiento</w:t>
      </w:r>
      <w:proofErr w:type="spellEnd"/>
      <w:r w:rsidRPr="00FB5309">
        <w:rPr>
          <w:rFonts w:ascii="Arial" w:eastAsia="Times New Roman" w:hAnsi="Arial" w:cs="Arial"/>
          <w:color w:val="000000"/>
          <w:sz w:val="18"/>
          <w:szCs w:val="18"/>
          <w:lang w:eastAsia="es-MX"/>
        </w:rPr>
        <w:t xml:space="preserve"> del estímulo fiscal que les corresponda conforme a lo dispuesto en el artículo 16, apartado A, fracción II, último párrafo de la LIF, contra el ISR propio causado en el ejercicio que tenga el contribuyente, correspondiente al mismo ejercicio en que se importe o adquiera combustible, o contra las retenciones del ISR efectuadas a terceros en el mismo ejercicio.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18"/>
          <w:szCs w:val="18"/>
          <w:lang w:eastAsia="es-MX"/>
        </w:rPr>
        <w:t> </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 xml:space="preserve">Los contribuyentes mencionados en el párrafo anterior podrán optar por aplicar el </w:t>
      </w:r>
      <w:proofErr w:type="spellStart"/>
      <w:r w:rsidRPr="00FB5309">
        <w:rPr>
          <w:rFonts w:ascii="Arial" w:eastAsia="Times New Roman" w:hAnsi="Arial" w:cs="Arial"/>
          <w:color w:val="000000"/>
          <w:sz w:val="18"/>
          <w:szCs w:val="18"/>
          <w:lang w:eastAsia="es-MX"/>
        </w:rPr>
        <w:t>acreditamiento</w:t>
      </w:r>
      <w:proofErr w:type="spellEnd"/>
      <w:r w:rsidRPr="00FB5309">
        <w:rPr>
          <w:rFonts w:ascii="Arial" w:eastAsia="Times New Roman" w:hAnsi="Arial" w:cs="Arial"/>
          <w:color w:val="000000"/>
          <w:sz w:val="18"/>
          <w:szCs w:val="18"/>
          <w:lang w:eastAsia="es-MX"/>
        </w:rPr>
        <w:t> del estímulo mencionado contra los pagos provisionales del ISR del ejercicio, siempre que los pagos provisionales que acrediten en la declaración del ejercicio no consideren los montos del estímulo fiscal mencionado que hayan acreditado en dichos pagos provisionales. Las facilidades administrativas a que se refiere la presente regla no serán aplicables para los contribuyentes que soliciten la devolución a que se refiere el artículo 16, apartado A, fracción III de la LIF.</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Los contribuyentes considerarán como ingreso acumulable para los efectos del ISR el estímulo a que hace referencia la presente regla en el momento en que efectivamente lo acrediten.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 xml:space="preserve">Para los efectos del artículo 16, apartado A, fracción I, primer párrafo de la LIF, cuando los ingresos totales anuales obtenidos por los contribuyentes a que se refiere el primer párrafo de la presente regla sean iguales o excedan en cualquier momento del ejercicio de 60 millones de pesos, dejarán de aplicar desde el inicio del ejercicio el </w:t>
      </w:r>
      <w:proofErr w:type="spellStart"/>
      <w:r w:rsidRPr="00FB5309">
        <w:rPr>
          <w:rFonts w:ascii="Arial" w:eastAsia="Times New Roman" w:hAnsi="Arial" w:cs="Arial"/>
          <w:color w:val="000000"/>
          <w:sz w:val="18"/>
          <w:szCs w:val="18"/>
          <w:lang w:eastAsia="es-MX"/>
        </w:rPr>
        <w:t>acreditamiento</w:t>
      </w:r>
      <w:proofErr w:type="spellEnd"/>
      <w:r w:rsidRPr="00FB5309">
        <w:rPr>
          <w:rFonts w:ascii="Arial" w:eastAsia="Times New Roman" w:hAnsi="Arial" w:cs="Arial"/>
          <w:color w:val="000000"/>
          <w:sz w:val="18"/>
          <w:szCs w:val="18"/>
          <w:lang w:eastAsia="es-MX"/>
        </w:rPr>
        <w:t xml:space="preserve"> del estímulo fiscal a que se refiere esta regla, por lo cual deberán presentar declaraciones complementarias de los meses anteriores y, en su caso, enterar la diferencia del impuesto no cubierta con su respectiva actualización y recargos. El impuesto que resulte se actualizará por el periodo comprendido desde el mes en el que se presentó la declaración en la que se aplicó el estímulo fiscal hasta el mes en el que se efectúe el pago correspondiente, de conformidad con el artículo 17-A del CFF; además, el contribuyente deberá cubrir los recargos por el mismo periodo de conformidad con el artículo 21 del Código citado.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Los contribuyentes que inicien actividades podrán aplicar lo dispuesto en el primer y segundo párrafos de esta regla, cuando estimen que sus ingresos totales anuales del ejercicio no excederán el monto establecido en el artículo 16, apartado A, fracción I, primer párrafo de la LIF. Cuando en el ejercicio inicial realicen operaciones por un periodo menor a doce meses, para determinar el monto citado, dividirán los ingresos obtenidos entre el número de días que comprenda el periodo y el resultado se multiplicará por 365 días. Si la cantidad obtenida es igual o excede del monto referido, la facilidad del primer y segundo párrafos de esta regla se dejará de aplicar desde el inicio del ejercicio y se estará a lo dispuesto en el tercer párrafo de la misma.</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Aviso de aplicación del estímulo fiscal</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1.14.</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Para los efectos del artículo 25 del CFF y la regla 1.13. de la presente Resolución, los contribuyentes que apliquen los estímulos fiscales establecidos en el artículo 16, apartado A, fracciones I y II, numeral 2 de la LIF, únicamente deberán presentar el aviso a que se refiere el citado artículo 25, cuando apliquen por primera vez dicho estímulo en la declaración del pago provisional</w:t>
      </w:r>
      <w:r w:rsidRPr="00FB5309">
        <w:rPr>
          <w:rFonts w:ascii="Arial" w:eastAsia="Times New Roman" w:hAnsi="Arial" w:cs="Arial"/>
          <w:color w:val="2F2F2F"/>
          <w:sz w:val="18"/>
          <w:szCs w:val="18"/>
          <w:lang w:eastAsia="es-MX"/>
        </w:rPr>
        <w:t>, definitiva</w:t>
      </w:r>
      <w:r w:rsidRPr="00FB5309">
        <w:rPr>
          <w:rFonts w:ascii="Arial" w:eastAsia="Times New Roman" w:hAnsi="Arial" w:cs="Arial"/>
          <w:color w:val="000000"/>
          <w:sz w:val="18"/>
          <w:szCs w:val="18"/>
          <w:lang w:eastAsia="es-MX"/>
        </w:rPr>
        <w:t> o en la declaración anual, según se trate, dentro de los quince días siguientes a la presentación de la primera declaración en la que se aplique el estímulo, de conformidad con la ficha de trámite 4/LIF "Aviso mediante el cual se otorga un estímulo fiscal a las personas que realicen actividades empresariales y que para determinar su utilidad puedan deducir el diésel o </w:t>
      </w:r>
      <w:proofErr w:type="spellStart"/>
      <w:r w:rsidRPr="00FB5309">
        <w:rPr>
          <w:rFonts w:ascii="Arial" w:eastAsia="Times New Roman" w:hAnsi="Arial" w:cs="Arial"/>
          <w:color w:val="000000"/>
          <w:sz w:val="18"/>
          <w:szCs w:val="18"/>
          <w:lang w:eastAsia="es-MX"/>
        </w:rPr>
        <w:t>biodiésel</w:t>
      </w:r>
      <w:proofErr w:type="spellEnd"/>
      <w:r w:rsidRPr="00FB5309">
        <w:rPr>
          <w:rFonts w:ascii="Arial" w:eastAsia="Times New Roman" w:hAnsi="Arial" w:cs="Arial"/>
          <w:color w:val="000000"/>
          <w:sz w:val="18"/>
          <w:szCs w:val="18"/>
          <w:lang w:eastAsia="es-MX"/>
        </w:rPr>
        <w:t xml:space="preserve"> y sus mezclas que adquieran o importen para su consumo final, siempre que se utilice exclusivamente como combustible en maquinaria en general", contenida en el Anexo 1-A de la RMF.</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Aviso de socios, accionistas, asociados y otros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1.15.</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Para los efectos del artículo 27, apartados A, fracción II y B, fracción VI del CFF, las personas morales dedicadas exclusivamente a las actividades agrícolas, ganaderas, silvícolas o pesqueras, que cumplan con sus obligaciones fiscales en los términos del artículo 74 de la Ley del ISR, quedarán relevadas de presentar el aviso ante el RFC en el que informen el nombre y la clave del RFC de los socios, accionistas, asociados y demás personas, cualquiera que sea el nombre con el que se les designe, que ostenten dicho carácter conforme a sus estatutos o legislación bajo la cual se constituyan, excepto cuando la autoridad fiscal requiera su presentación.</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Opción para socios o integrantes de sociedades cooperativas de producción pesqueras o silvícolas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1.16.</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 xml:space="preserve">Las personas físicas que sean socios de sociedades cooperativas de producción dedicadas exclusivamente a actividades pesqueras o silvícolas que cuenten con concesión o permiso del Gobierno Federal para explotar los recursos marinos o silvícolas, podrán optar por la exención de $900,000.00 (novecientos mil pesos 00/100 M.N.) a que se refiere el artículo 113-E, párrafo noveno de la Ley del ISR, a través de dichas sociedades </w:t>
      </w:r>
      <w:r w:rsidRPr="00FB5309">
        <w:rPr>
          <w:rFonts w:ascii="Arial" w:eastAsia="Times New Roman" w:hAnsi="Arial" w:cs="Arial"/>
          <w:color w:val="000000"/>
          <w:sz w:val="18"/>
          <w:szCs w:val="18"/>
          <w:lang w:eastAsia="es-MX"/>
        </w:rPr>
        <w:lastRenderedPageBreak/>
        <w:t>cooperativas, considerando para dicho monto el total de los ingresos que perciban por las citadas actividades efectivamente cobrados en el ejercicio, siempre que la totalidad de los socios de la sociedad cooperativa de que se trate ejerzan la referida opción y dichas sociedades cumplan con los siguientes requisitos:</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Se integren únicamente por personas físicas.</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II.</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No apliquen la exención establecida en el artículo 74, décimo primer párrafo de la Ley del ISR por cada uno de sus socios.</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III.</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Calculen y enteren el ISR que corresponda a los rendimientos y anticipos que se distribuyan en el ejercicio fiscal de conformidad con lo dispuesto en los artículos 94 y 96 de la Ley del ISR, por los ingresos que excedan de $900,000.00 (novecientos mil pesos 00/100 M.N.) por cada uno de sus socios.</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IV.</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 xml:space="preserve">Presenten a más tardar el 1 de julio de 2023, la relación de socios actualizada, ingresando al Portal del SAT, y </w:t>
      </w:r>
      <w:proofErr w:type="spellStart"/>
      <w:r w:rsidRPr="00FB5309">
        <w:rPr>
          <w:rFonts w:ascii="Arial" w:eastAsia="Times New Roman" w:hAnsi="Arial" w:cs="Arial"/>
          <w:color w:val="000000"/>
          <w:sz w:val="18"/>
          <w:szCs w:val="18"/>
          <w:lang w:eastAsia="es-MX"/>
        </w:rPr>
        <w:t>requisitar</w:t>
      </w:r>
      <w:proofErr w:type="spellEnd"/>
      <w:r w:rsidRPr="00FB5309">
        <w:rPr>
          <w:rFonts w:ascii="Arial" w:eastAsia="Times New Roman" w:hAnsi="Arial" w:cs="Arial"/>
          <w:color w:val="000000"/>
          <w:sz w:val="18"/>
          <w:szCs w:val="18"/>
          <w:lang w:eastAsia="es-MX"/>
        </w:rPr>
        <w:t xml:space="preserve"> el formulario conforme a la ficha de trámite 295/CFF "Solicitud de modificación o incorporación de socios, accionistas, asociados y demás personas que forman parte de la estructura orgánica de una persona moral, así como de aquéllas que tengan control, influencia significativa o poder de mando", contenida en el Anexo 1-A de la RMF.</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En caso de que durante el ejercicio fiscal, la sociedad registre cambios en la información de sus socios, deberá llevar a cabo la actualización correspondiente a través del procedimiento descrito en el párrafo anterior, dentro de los treinta días hábiles siguientes a aquél en que se llevó a cabo la modificación o incorporación de socios, de no ser así, se entenderá que la sociedad cooperativa y sus socios dejan de aplicar lo dispuesto en esta regla y deberán estar, una vez transcurrido el plazo señalado, a lo dispuesto por el artículo 74 de la Ley del ISR y demás disposiciones aplicables.</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V.</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Proporcione a través del Portal del SAT, mediante una solicitud en "Mi Portal" mediante un caso de "Servicio o solicitudes", seleccionando la opción "SOC COOP PES O SILVI INGRESOS", un archivo en formato Excel (*XLSX), que contenga un reporte mensual acumulado de los ingresos percibidos por cada socio en cada uno de los meses del ejercicio. Dicho reporte se presentará, a más tardar el día 17 del mes inmediato siguiente al que correspondan los ingresos.</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Título 2. Sector de Autotransporte Terrestre de Carga Federal</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Retención del ISR a operadores, macheteros y maniobristas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2.1.</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Los contribuyentes personas físicas y morales, dedicados exclusivamente al autotransporte terrestre de carga federal, que tributen en los términos del Título II, Capítulo VII o Título IV, Capítulo II, Sección I de la Ley del ISR, según sea el caso, para los efectos del cumplimiento de las obligaciones fiscales en materia de retenciones del ISR por los pagos efectuados a sus trabajadores, en lugar de aplicar las disposiciones correspondientes al pago de salarios, podrán enterar el 7.5 por ciento por concepto de retenciones del ISR, correspondiente a los pagos efectivamente realizados a operadores, macheteros y maniobristas, tomando como referencia el salario base de cotización que sirva para el cálculo de las aportaciones de dichos trabajadores al IMSS, conforme a la normatividad aplicable, en cuyo caso, deberán elaborar y entregar a más tardar el 15 de febrero de 2024, una relación individualizada de dicho personal en la que se indique el monto de las cantidades que les son pagadas en el periodo de que se trate, en los términos en que se elabora para los efectos de las aportaciones que realicen al IMSS de conformidad con la ficha de trámite 91/ISR "Aviso que presentan los contribuyentes dedicados a la actividad de autotransporte terrestre de carga federal que ejercen la opción de enterar el 7.5 por ciento por concepto de retenciones de ISR", contenida en el Anexo 1-A de la RMF, además de emitir el CFDI y su complemento por concepto de nómina correspondiente.</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Por lo que se refiere a los pagos realizados a los trabajadores distintos de los señalados en esta regla, se estará a lo dispuesto en la Ley del ISR.</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 dispuesto en esta regla será aplicable, siempre que los contribuyentes a que se refiere el primer párrafo de esta regla, no presten preponderantemente sus servicios a otra persona moral residente en el país o en el extranjero, que se considere parte relacionada en los términos de la Ley del ISR.</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Facilidades de comprobación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2.2.</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 la Ley del ISR, los contribuyentes personas físicas y morales, dedicados exclusivamente al autotransporte terrestre de carga federal, que tributen en los términos del Título II, Capítulo VII o Título IV, Capítulo II, Sección I de la Ley del ISR, podrán deducir hasta el equivalente a un 8 por ciento de los ingresos propios de su actividad, sin exceder de $1,000,000.00 (un millón de pesos 00/100 M.N.) durante el ejercicio, sin documentación que reúna requisitos fiscales, siempre que:</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El gasto haya sido efectivamente realizado en el ejercicio fiscal de que se trate y esté vinculado con la actividad.</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lastRenderedPageBreak/>
        <w:t>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La erogación por la cual se aplique la facilidad se encuentre registrada en su contabilidad por concepto y en forma acumulativa durante el ejercicio fiscal.</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Efectúe el pago por concepto del ISR anual sobre el monto que haya sido deducido por este concepto a la tasa del 16 por ciento. El impuesto anual pagado sobre dicho monto se considerará como definitivo y no será acreditable, ni deducible para efectos fiscales. En el caso de los coordinados o personas morales que tributen por cuenta de sus integrantes, efectuarán por cuenta de los mismos el entero de dicho impuesto.</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IV.</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que opten por la deducción a que se refiere esta regla deberán efectuar pagos provisionales a cuenta del impuesto anual a que se refiere la fracción anterior, los que se determinarán considerando la deducción realizada en el periodo de pago acumulado del ejercicio fiscal de que se trate, aplicando la tasa del 16 por ciento, pudiendo acreditar los pagos provisionales del mismo ejercicio fiscal realizados con anterioridad por el mismo concepto. Estos pagos provisionales se enterarán a través de las declaraciones del ISR personas físicas, actividad empresarial y profesional o ISR personas morales, régimen de los coordinados, impuesto propio o de sus integrantes respectivamente, a más tardar el día 17 del mes siguiente a aquel por el que se efectúe la deducción, o aquel que corresponda de conformidad con el artículo 5.1., del Decreto que compila diversos beneficios fiscales y establece medidas de simplificación administrativa, publicado en el Diario Oficial de la Federación el 26 de diciembre de 2013.</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esta Resolución.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a que se refiere el primer párrafo de esta regla deberán informar en la declaración anual del ISR, el monto de la deducción correspondiente, en el campo "Facilidades administrativas y estímulos deducibles" en la opción "Deducción equivalente hasta 8% de ingresos propios sin documentación que reúna requisitos fiscales para contribuyentes dedicados exclusivamente al autotransporte".</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 dispuesto en esta regla no será aplicable a los gastos que realicen los contribuyentes por concepto de adquisición de combustibles para realizar su actividad.</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Responsabilidad solidaria de los coordinados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2.3.</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Los coordinados que opten por aplicar las facilidades a que se refieren las reglas 2.1. </w:t>
      </w:r>
      <w:proofErr w:type="gramStart"/>
      <w:r w:rsidRPr="00FB5309">
        <w:rPr>
          <w:rFonts w:ascii="Arial" w:eastAsia="Times New Roman" w:hAnsi="Arial" w:cs="Arial"/>
          <w:color w:val="2F2F2F"/>
          <w:sz w:val="18"/>
          <w:szCs w:val="18"/>
          <w:lang w:eastAsia="es-MX"/>
        </w:rPr>
        <w:t>y</w:t>
      </w:r>
      <w:proofErr w:type="gramEnd"/>
      <w:r w:rsidRPr="00FB5309">
        <w:rPr>
          <w:rFonts w:ascii="Arial" w:eastAsia="Times New Roman" w:hAnsi="Arial" w:cs="Arial"/>
          <w:color w:val="2F2F2F"/>
          <w:sz w:val="18"/>
          <w:szCs w:val="18"/>
          <w:lang w:eastAsia="es-MX"/>
        </w:rPr>
        <w:t xml:space="preserve"> 2.2. de la presente Resolución,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Cuentas maestras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2.4.</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Las personas físicas permisionarias del autotransporte terrestre de carga federal que constituyan empresas de autotransporte, podrán abrir y utilizar para realizar las erogaciones correspondientes a las actividades de dichas empresas, cuentas maestras dinámicas o empresariales a nombre de cualquiera de las personas físicas permisionarias integrantes de la persona moral de que se trate, siempre que los movimientos efectuados en dichas cuentas, coincidan con los registros realizados en la contabilidad de la empresa y con la liquidación que al efecto se emita a las permisionarias personas físicas.</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Concepto de coordinado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2.5.</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 los artículos 72 y 73 de la Ley del ISR, los contribuyentes dedicados a la actividad de autotransporte terrestre de carga federal, considerarán como coordinado a toda persona moral dedicada exclusivamente al servicio de autotransporte terrestre de carga federal, que agrupa y se integra con otras personas físicas y personas morales similares y complementarias, constituidas para proporcionar servicios requeridos por la actividad común de autotransporte terrestre de carga federal. Estos elementos integran una unidad económica con intereses comunes y participan en forma conjunta y en diversas proporciones no identificables, con los propósitos siguientes:</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Coordinar y convenir los servicios que se presten en forma conjunta, incluyendo las empresas que presten servicios o posean inmuebles, dedicados a la actividad del autotransporte terrestre de carga federal. </w:t>
      </w:r>
      <w:r w:rsidRPr="00FB5309">
        <w:rPr>
          <w:rFonts w:ascii="Arial" w:eastAsia="Times New Roman" w:hAnsi="Arial" w:cs="Arial"/>
          <w:color w:val="2F2F2F"/>
          <w:sz w:val="18"/>
          <w:szCs w:val="18"/>
          <w:lang w:eastAsia="es-MX"/>
        </w:rPr>
        <w:lastRenderedPageBreak/>
        <w:t xml:space="preserve">Tratándose de centrales o paraderos de autotransporte que no sean integrantes de algún coordinado, podrán tributar en el Título II, Capítulo VII de la Ley del ISR, siempre que se encuentren integradas por empresas dedicadas al autotransporte de carga federal y presten sus servicios preponderantemente a empresas de autotransporte terrestre de carga federal y dichas centrales o paraderos no apliquen las facilidades contenidas en las reglas 2.1., 2.2. </w:t>
      </w:r>
      <w:proofErr w:type="gramStart"/>
      <w:r w:rsidRPr="00FB5309">
        <w:rPr>
          <w:rFonts w:ascii="Arial" w:eastAsia="Times New Roman" w:hAnsi="Arial" w:cs="Arial"/>
          <w:color w:val="2F2F2F"/>
          <w:sz w:val="18"/>
          <w:szCs w:val="18"/>
          <w:lang w:eastAsia="es-MX"/>
        </w:rPr>
        <w:t>y</w:t>
      </w:r>
      <w:proofErr w:type="gramEnd"/>
      <w:r w:rsidRPr="00FB5309">
        <w:rPr>
          <w:rFonts w:ascii="Arial" w:eastAsia="Times New Roman" w:hAnsi="Arial" w:cs="Arial"/>
          <w:color w:val="2F2F2F"/>
          <w:sz w:val="18"/>
          <w:szCs w:val="18"/>
          <w:lang w:eastAsia="es-MX"/>
        </w:rPr>
        <w:t xml:space="preserve"> 2.9. </w:t>
      </w:r>
      <w:proofErr w:type="gramStart"/>
      <w:r w:rsidRPr="00FB5309">
        <w:rPr>
          <w:rFonts w:ascii="Arial" w:eastAsia="Times New Roman" w:hAnsi="Arial" w:cs="Arial"/>
          <w:color w:val="2F2F2F"/>
          <w:sz w:val="18"/>
          <w:szCs w:val="18"/>
          <w:lang w:eastAsia="es-MX"/>
        </w:rPr>
        <w:t>de</w:t>
      </w:r>
      <w:proofErr w:type="gramEnd"/>
      <w:r w:rsidRPr="00FB5309">
        <w:rPr>
          <w:rFonts w:ascii="Arial" w:eastAsia="Times New Roman" w:hAnsi="Arial" w:cs="Arial"/>
          <w:color w:val="2F2F2F"/>
          <w:sz w:val="18"/>
          <w:szCs w:val="18"/>
          <w:lang w:eastAsia="es-MX"/>
        </w:rPr>
        <w:t xml:space="preserve"> la presente Resolución.</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color w:val="2F2F2F"/>
          <w:sz w:val="18"/>
          <w:szCs w:val="18"/>
          <w:lang w:eastAsia="es-MX"/>
        </w:rPr>
        <w:t> </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Cumplir con las obligaciones en materia fiscal por cuenta de cada uno de sus integrantes en forma global.</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Contar con un manual de políticas para la aplicación de los gastos comunes y su prorrateo a cada uno de sus integrantes, el cual deberán tener a disposición de las autoridades fiscales cuando se lo soliciten.</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Donativos a organismos públicos descentralizados del Gobierno Federal</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2.6.</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 la Ley del ISR, los contribuyentes personas físicas y morales, dedicados exclusivamente al autotransporte terrestre de carga federal, que tributen en los términos del Título II, Capítulo VII o Título IV, Capítulo II, Sección I de la Ley del ISR, podrán considerar como deducibles para efectos de dicho impuesto, los donativos que realicen a organismos públicos descentralizados del Gobierno Federal, siempre que cumplan con los requisitos que establece dicha Ley y se trate de proyectos que se destinen exclusivamente a inversiones productivas y creación de infraestructura, para operar en la actividad de autotransporte de carga federal.</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Enajenación de acciones emitidas por empresas dedicadas al autotransporte terrestre de carga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2.7.</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En el caso de enajenación de acciones emitidas por personas morales dedicadas a la actividad de autotransporte terrestre de carga federal que tributen en el Régimen de los Coordinados del Título II, Capítulo VII de la Ley del ISR, que sean enajenadas por personas dedicadas exclusivamente a la actividad de autotransporte terrestre de carga federal, se releva al adquirente de las mismas de la obligación de efectuar la retención del 20 por ciento a que se refiere el artículo 126, cuarto párrafo de la Ley del ISR, siempre que el enajenante de las acciones acumule a los ingresos propios de la actividad de autotransporte terrestre de carga federal, la utilidad que se determine por dicha enajenación, en los términos de los artículos 22, 23, 72, cuarto párrafo y 126 de la citada Ley.</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Para los efectos del párrafo anterior, el integrante del coordinado que enajene las acciones o, en su caso, el coordinado a través del cual éste cumpla con sus obligaciones fiscales, deberá presentar un dictamen de enajenación de acciones por contador público inscrito, conforme a lo establecido en la regla 2.10.1. </w:t>
      </w:r>
      <w:proofErr w:type="gramStart"/>
      <w:r w:rsidRPr="00FB5309">
        <w:rPr>
          <w:rFonts w:ascii="Arial" w:eastAsia="Times New Roman" w:hAnsi="Arial" w:cs="Arial"/>
          <w:color w:val="2F2F2F"/>
          <w:sz w:val="18"/>
          <w:szCs w:val="18"/>
          <w:lang w:eastAsia="es-MX"/>
        </w:rPr>
        <w:t>de</w:t>
      </w:r>
      <w:proofErr w:type="gramEnd"/>
      <w:r w:rsidRPr="00FB5309">
        <w:rPr>
          <w:rFonts w:ascii="Arial" w:eastAsia="Times New Roman" w:hAnsi="Arial" w:cs="Arial"/>
          <w:color w:val="2F2F2F"/>
          <w:sz w:val="18"/>
          <w:szCs w:val="18"/>
          <w:lang w:eastAsia="es-MX"/>
        </w:rPr>
        <w:t xml:space="preserve"> la RMF.</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Aviso de opción para tributar a través de un coordinado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2.8.</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del artículo 72, fracción II, cuarto párrafo de la Ley del ISR, quienes opten por pagar el ISR a través de un coordinado o de varios coordinados de autotransporte terrestre de carga federal de los que sean integrantes, deberán presentar, además del aviso de opción, el de actualización de actividades económicas y obligaciones ante las autoridades fiscales e informar por escrito al coordinado del que sean integrantes, que ejercerán dicha opción y que presentaron el aviso de actualización ante el RFC, a más tardar dentro de los treinta días siguientes a la entrada en vigor de la presente Resolución, en los términos de lo establecido en el artículo 30, fracción V del Reglamento del CFF y en la ficha de trámite 71/CFF "Aviso de actualización de actividades económicas y obligaciones", contenida en el Anexo 1-A de la RMF.</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que por ejercicios anteriores hubieran presentado su aviso de opción para tributar a través de un coordinado y de actualización de actividades económicas y obligaciones, a que se refiere esta regla, no deberán presentar el aviso correspondiente hasta en tanto no se modifiquen sus actividades,</w:t>
      </w:r>
      <w:r w:rsidRPr="00FB5309">
        <w:rPr>
          <w:rFonts w:ascii="Arial" w:eastAsia="Times New Roman" w:hAnsi="Arial" w:cs="Arial"/>
          <w:color w:val="000000"/>
          <w:sz w:val="18"/>
          <w:szCs w:val="18"/>
          <w:lang w:eastAsia="es-MX"/>
        </w:rPr>
        <w:t> no cambien la opción elegida, o no tengan derecho a cambiarla en los términos de la propia Ley del ISR</w:t>
      </w:r>
      <w:r w:rsidRPr="00FB5309">
        <w:rPr>
          <w:rFonts w:ascii="Arial" w:eastAsia="Times New Roman" w:hAnsi="Arial" w:cs="Arial"/>
          <w:color w:val="2F2F2F"/>
          <w:sz w:val="18"/>
          <w:szCs w:val="18"/>
          <w:lang w:eastAsia="es-MX"/>
        </w:rPr>
        <w:t>.</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Adquisición de combustibles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2.9.</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personas físicas y morales, dedicados exclusivamente al autotransporte terrestre de carga federal, que tributen en los términos del Título II, Capítulo VII o Título IV, Capítulo II, Sección I de la Ley del ISR, considerarán cumplida la obligación a que se refiere el artículo 27, fracción III, segundo párrafo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 y en el comprobante fiscal conste la información del permiso vigente, expedido en los términos de la Ley de Hidrocarburos al proveedor del combustible y que, en su caso, dicho permiso no se encuentre suspendido al momento de la expedición del comprobante fiscal.</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Impuesto al valor agregado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lastRenderedPageBreak/>
        <w:t>2.10.</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del artículo 72 de la Ley del ISR, los coordinados que cumplan con sus obligaciones en los términos del Título II, Capítulo VII de la citada ley, podrán cumplir con las obligaciones fiscales en materia del IVA por cuenta de cada uno de sus integrantes, aplicando al efecto lo dispuesto en la Ley del IVA.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Asimismo, deberán emitir la liquidación a sus integrantes a través de un CFDI de retenciones e información de pagos, con los siguientes requisitos:</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Denominación o razón social, domicilio fiscal y clave en el RFC, de la persona moral, así como el número de folio consecutivo.</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Lugar y fecha de expedición.</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Nombre del integrante al que se le expida, su clave en el RFC o, en su caso, la CURP, ubicación de su negocio o domicilio y firma del mismo o de quien reciba el documento.</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IV.</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Descripción global de los conceptos de los ingresos, deducciones y, en su caso, de los impuestos y retenciones, que le correspondan al integrante de que se trate.</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coordinados deberán expedir el CFDI de retenciones e información de pagos, al cual, se le deberá incorporar el "Complemento de Liquidación", que al efecto publique el SAT en su Portal de Internet. En dicho CFDI, además deberán asentar la información correspondiente al valor de actividades, el IVA que se traslada, el que les hayan trasladado, así como, en su caso, el pagado en la importación.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 esta regla, quienes opten por pagar el IVA a través de un coordinado o de varios coordinados de autotransporte terrestre de carga federal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opción, indicando en el mismo el folio y la fecha del trámite presentado ante la autoridad fiscal.</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CFF y en la ficha de trámite 71/CFF "Aviso de actualización de actividades económicas y obligaciones", contenida en el Anexo 1-A de la RMF; asimismo, dentro del plazo señalado deberán informar al coordinado del que sean integrantes que ejercen dicha opción.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coordinados dedicados al autotransporte terrestre de carga federal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Información con proveedores del IVA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2.11.</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 la obligación a que se refiere el artículo 32, fracción VIII de la Ley del IVA, tratándose de coordinados del autotransporte terrestre de carga federal que cumplan con las obligaciones fiscales por cuenta de sus integrantes, presentarán la información en forma global por sus operaciones y las de sus integrantes, por las actividades empresariales que se realicen a través del coordinado.</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FB5309">
        <w:rPr>
          <w:rFonts w:ascii="Arial" w:eastAsia="Times New Roman" w:hAnsi="Arial" w:cs="Arial"/>
          <w:b/>
          <w:bCs/>
          <w:color w:val="000000"/>
          <w:sz w:val="18"/>
          <w:szCs w:val="18"/>
          <w:lang w:eastAsia="es-MX"/>
        </w:rPr>
        <w:t>Acreditamiento</w:t>
      </w:r>
      <w:proofErr w:type="spellEnd"/>
      <w:r w:rsidRPr="00FB5309">
        <w:rPr>
          <w:rFonts w:ascii="Arial" w:eastAsia="Times New Roman" w:hAnsi="Arial" w:cs="Arial"/>
          <w:b/>
          <w:bCs/>
          <w:color w:val="000000"/>
          <w:sz w:val="18"/>
          <w:szCs w:val="18"/>
          <w:lang w:eastAsia="es-MX"/>
        </w:rPr>
        <w:t xml:space="preserve"> de estímulos fiscales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2.12.</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Los contribuyentes personas físicas y morales dedicados exclusivamente al autotransporte terrestre de carga federal, que tributen en los términos del Título II, Capítulo VII o Título IV, Capítulo II, Sección I, de la Ley del ISR, según sea el caso, podrán efectuar el </w:t>
      </w:r>
      <w:proofErr w:type="spellStart"/>
      <w:r w:rsidRPr="00FB5309">
        <w:rPr>
          <w:rFonts w:ascii="Arial" w:eastAsia="Times New Roman" w:hAnsi="Arial" w:cs="Arial"/>
          <w:color w:val="2F2F2F"/>
          <w:sz w:val="18"/>
          <w:szCs w:val="18"/>
          <w:lang w:eastAsia="es-MX"/>
        </w:rPr>
        <w:t>acreditamiento</w:t>
      </w:r>
      <w:proofErr w:type="spellEnd"/>
      <w:r w:rsidRPr="00FB5309">
        <w:rPr>
          <w:rFonts w:ascii="Arial" w:eastAsia="Times New Roman" w:hAnsi="Arial" w:cs="Arial"/>
          <w:color w:val="2F2F2F"/>
          <w:sz w:val="18"/>
          <w:szCs w:val="18"/>
          <w:lang w:eastAsia="es-MX"/>
        </w:rPr>
        <w:t xml:space="preserve"> del estímulo fiscal que les corresponda conforme a lo dispuesto en el artículo 16, apartado A, fracción IV, tercer párrafo de la LIF, contra el ISR propio causado en el mismo ejercicio en que se importe o adquiera el combustible; contra los pagos provisionales a que se refiere la regla 2.2., fracción IV; contra el ISR anual a que se refiere la fracción III de la propia regla 2.2. </w:t>
      </w:r>
      <w:proofErr w:type="gramStart"/>
      <w:r w:rsidRPr="00FB5309">
        <w:rPr>
          <w:rFonts w:ascii="Arial" w:eastAsia="Times New Roman" w:hAnsi="Arial" w:cs="Arial"/>
          <w:color w:val="2F2F2F"/>
          <w:sz w:val="18"/>
          <w:szCs w:val="18"/>
          <w:lang w:eastAsia="es-MX"/>
        </w:rPr>
        <w:t>de</w:t>
      </w:r>
      <w:proofErr w:type="gramEnd"/>
      <w:r w:rsidRPr="00FB5309">
        <w:rPr>
          <w:rFonts w:ascii="Arial" w:eastAsia="Times New Roman" w:hAnsi="Arial" w:cs="Arial"/>
          <w:color w:val="2F2F2F"/>
          <w:sz w:val="18"/>
          <w:szCs w:val="18"/>
          <w:lang w:eastAsia="es-MX"/>
        </w:rPr>
        <w:t xml:space="preserve"> la presente Resolución, o contra las retenciones del ISR efectuadas a terceros en el mismo ejercicio.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a que se refiere el párrafo anterior, que obtengan en el ejercicio fiscal ingresos totales anuales para los efectos del ISR menores a 300 millones de pesos, conforme a lo dispuesto en el artículo 16, apartado A, fracción V, segundo párrafo de la LIF, podrán efectuar el </w:t>
      </w:r>
      <w:proofErr w:type="spellStart"/>
      <w:r w:rsidRPr="00FB5309">
        <w:rPr>
          <w:rFonts w:ascii="Arial" w:eastAsia="Times New Roman" w:hAnsi="Arial" w:cs="Arial"/>
          <w:color w:val="2F2F2F"/>
          <w:sz w:val="18"/>
          <w:szCs w:val="18"/>
          <w:lang w:eastAsia="es-MX"/>
        </w:rPr>
        <w:t>acreditamiento</w:t>
      </w:r>
      <w:proofErr w:type="spellEnd"/>
      <w:r w:rsidRPr="00FB5309">
        <w:rPr>
          <w:rFonts w:ascii="Arial" w:eastAsia="Times New Roman" w:hAnsi="Arial" w:cs="Arial"/>
          <w:color w:val="2F2F2F"/>
          <w:sz w:val="18"/>
          <w:szCs w:val="18"/>
          <w:lang w:eastAsia="es-MX"/>
        </w:rPr>
        <w:t xml:space="preserve"> del estímulo fiscal a que se refiere dicha disposición, contra el ISR propio causado en el mismo ejercicio en que se realicen los gastos por el uso de la infraestructura carretera de cuota; contra los pagos provisionales a que se refiere la regla 2.2., fracción IV, o contra el ISR anual a que se refiere la fracción III de la propia regla 2.2. </w:t>
      </w:r>
      <w:proofErr w:type="gramStart"/>
      <w:r w:rsidRPr="00FB5309">
        <w:rPr>
          <w:rFonts w:ascii="Arial" w:eastAsia="Times New Roman" w:hAnsi="Arial" w:cs="Arial"/>
          <w:color w:val="2F2F2F"/>
          <w:sz w:val="18"/>
          <w:szCs w:val="18"/>
          <w:lang w:eastAsia="es-MX"/>
        </w:rPr>
        <w:t>de</w:t>
      </w:r>
      <w:proofErr w:type="gramEnd"/>
      <w:r w:rsidRPr="00FB5309">
        <w:rPr>
          <w:rFonts w:ascii="Arial" w:eastAsia="Times New Roman" w:hAnsi="Arial" w:cs="Arial"/>
          <w:color w:val="2F2F2F"/>
          <w:sz w:val="18"/>
          <w:szCs w:val="18"/>
          <w:lang w:eastAsia="es-MX"/>
        </w:rPr>
        <w:t xml:space="preserve"> la presente Resolución.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lastRenderedPageBreak/>
        <w:t>         </w:t>
      </w:r>
      <w:r w:rsidRPr="00FB5309">
        <w:rPr>
          <w:rFonts w:ascii="Arial" w:eastAsia="Times New Roman" w:hAnsi="Arial" w:cs="Arial"/>
          <w:color w:val="2F2F2F"/>
          <w:sz w:val="18"/>
          <w:szCs w:val="18"/>
          <w:lang w:eastAsia="es-MX"/>
        </w:rPr>
        <w:t xml:space="preserve">Los contribuyentes a que se refiere esta regla podrán optar por aplicar el </w:t>
      </w:r>
      <w:proofErr w:type="spellStart"/>
      <w:r w:rsidRPr="00FB5309">
        <w:rPr>
          <w:rFonts w:ascii="Arial" w:eastAsia="Times New Roman" w:hAnsi="Arial" w:cs="Arial"/>
          <w:color w:val="2F2F2F"/>
          <w:sz w:val="18"/>
          <w:szCs w:val="18"/>
          <w:lang w:eastAsia="es-MX"/>
        </w:rPr>
        <w:t>acreditamiento</w:t>
      </w:r>
      <w:proofErr w:type="spellEnd"/>
      <w:r w:rsidRPr="00FB5309">
        <w:rPr>
          <w:rFonts w:ascii="Arial" w:eastAsia="Times New Roman" w:hAnsi="Arial" w:cs="Arial"/>
          <w:color w:val="2F2F2F"/>
          <w:sz w:val="18"/>
          <w:szCs w:val="18"/>
          <w:lang w:eastAsia="es-MX"/>
        </w:rPr>
        <w:t xml:space="preserve"> de los estímulos mencionados contra los pagos provisionales del ISR del ejercicio, calculados conforme a lo dispuesto por la Ley de la materia, siempre que los pagos provisionales que acrediten en la declaración del ejercicio no consideren los montos de los estímulos fiscales mencionados que hayan acreditado en dichos pagos provisionales.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El </w:t>
      </w:r>
      <w:proofErr w:type="spellStart"/>
      <w:r w:rsidRPr="00FB5309">
        <w:rPr>
          <w:rFonts w:ascii="Arial" w:eastAsia="Times New Roman" w:hAnsi="Arial" w:cs="Arial"/>
          <w:color w:val="2F2F2F"/>
          <w:sz w:val="18"/>
          <w:szCs w:val="18"/>
          <w:lang w:eastAsia="es-MX"/>
        </w:rPr>
        <w:t>acreditamiento</w:t>
      </w:r>
      <w:proofErr w:type="spellEnd"/>
      <w:r w:rsidRPr="00FB5309">
        <w:rPr>
          <w:rFonts w:ascii="Arial" w:eastAsia="Times New Roman" w:hAnsi="Arial" w:cs="Arial"/>
          <w:color w:val="2F2F2F"/>
          <w:sz w:val="18"/>
          <w:szCs w:val="18"/>
          <w:lang w:eastAsia="es-MX"/>
        </w:rPr>
        <w:t xml:space="preserve"> de los estímulos mencionados se podrá aplicar contra los pagos provisionales a cuenta del ISR anual a que se refiere la fracción III de la regla 2.2. </w:t>
      </w:r>
      <w:proofErr w:type="gramStart"/>
      <w:r w:rsidRPr="00FB5309">
        <w:rPr>
          <w:rFonts w:ascii="Arial" w:eastAsia="Times New Roman" w:hAnsi="Arial" w:cs="Arial"/>
          <w:color w:val="2F2F2F"/>
          <w:sz w:val="18"/>
          <w:szCs w:val="18"/>
          <w:lang w:eastAsia="es-MX"/>
        </w:rPr>
        <w:t>de</w:t>
      </w:r>
      <w:proofErr w:type="gramEnd"/>
      <w:r w:rsidRPr="00FB5309">
        <w:rPr>
          <w:rFonts w:ascii="Arial" w:eastAsia="Times New Roman" w:hAnsi="Arial" w:cs="Arial"/>
          <w:color w:val="2F2F2F"/>
          <w:sz w:val="18"/>
          <w:szCs w:val="18"/>
          <w:lang w:eastAsia="es-MX"/>
        </w:rPr>
        <w:t xml:space="preserve"> esta Resolución, calculados conforme a lo dispuesto en la fracción IV de la misma disposición, siempre que los pagos provisionales que acrediten en la declaración del citado ISR anual no consideren los montos de los estímulos fiscales mencionados que hayan acreditado contra dichos pagos provisionales.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Los contribuyentes considerarán como ingresos acumulables para los efectos del ISR los estímulos a que hace referencia la presente regla en el momento en que efectivamente los acrediten.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Para los efectos del artículo 16, apartado A, fracción V, primer párrafo de la LIF, cuando los ingresos totales anuales obtenidos por los contribuyentes a que se refiere el segundo párrafo de la presente regla sean iguales o excedan en cualquier momento del ejercicio de 300 millones de pesos, dejarán de aplicar desde el inicio del ejercicio el </w:t>
      </w:r>
      <w:proofErr w:type="spellStart"/>
      <w:r w:rsidRPr="00FB5309">
        <w:rPr>
          <w:rFonts w:ascii="Arial" w:eastAsia="Times New Roman" w:hAnsi="Arial" w:cs="Arial"/>
          <w:color w:val="2F2F2F"/>
          <w:sz w:val="18"/>
          <w:szCs w:val="18"/>
          <w:lang w:eastAsia="es-MX"/>
        </w:rPr>
        <w:t>acreditamiento</w:t>
      </w:r>
      <w:proofErr w:type="spellEnd"/>
      <w:r w:rsidRPr="00FB5309">
        <w:rPr>
          <w:rFonts w:ascii="Arial" w:eastAsia="Times New Roman" w:hAnsi="Arial" w:cs="Arial"/>
          <w:color w:val="2F2F2F"/>
          <w:sz w:val="18"/>
          <w:szCs w:val="18"/>
          <w:lang w:eastAsia="es-MX"/>
        </w:rPr>
        <w:t xml:space="preserve"> del estímulo fiscal a que se refiere el artículo 16, apartado A, fracción V, primer párrafo de la LIF, por lo cual, deberán presentar declaraciones complementarias de los meses anteriores y en su caso, enterar la diferencia del impuesto no cubierta con su respectiva actualización y recargos correspondientes. El impuesto que resulte se actualizará por el periodo comprendido desde el mes en el que se presentó la declaración en la que se aplicó el estímulo fiscal hasta el mes en el que se efectúe el pago correspondiente, de conformidad con el artículo 17-A del CFF, además, el contribuyente deberá cubrir los recargos por el mismo periodo de conformidad con el artículo 21 del Código citado.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que inicien actividades podrán aplicar lo dispuesto en el tercer párrafo de esta regla, respecto del estímulo fiscal a que se refiere el artículo 16, apartado A, fracción V, primer párrafo de la LIF, cuando estimen que sus ingresos totales anuales del ejercicio no excederán el monto establecido en la citada disposición. Cuando en el ejercicio inicial realicen operaciones por un periodo menor a doce meses, para determinar el monto citado, dividirán los ingresos obtenidos entre el número de días que comprenda el periodo y el resultado se multiplicará por 365 días. Si la cantidad obtenida es igual o excede del monto referido, la facilidad a que se refiere esta regla se dejará de aplicar </w:t>
      </w:r>
      <w:r w:rsidRPr="00FB5309">
        <w:rPr>
          <w:rFonts w:ascii="Arial" w:eastAsia="Times New Roman" w:hAnsi="Arial" w:cs="Arial"/>
          <w:color w:val="000000"/>
          <w:sz w:val="18"/>
          <w:szCs w:val="18"/>
          <w:lang w:eastAsia="es-MX"/>
        </w:rPr>
        <w:t>desde el inicio del ejercicio y se estará a lo dispuesto en el párrafo anterior.</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Aviso de aplicación del estímulo fiscal</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2.13.</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Para los efectos del artículo 25 del CFF y la regla 2.12. de esta Resolución, los contribuyentes que apliquen el estímulo a que se refiere el artículo 16, apartado A, fracción IV de la LIF, únicamente deberán presentar el aviso a que se refiere el citado artículo 25, cuando apliquen por primera vez dicho estímulo en la declaración de pago provisional, definitiva o en la declaración anual, según se trate, dentro de los quince días siguientes a la presentación de la declaración en la que se aplique el estímulo, de conformidad con la ficha de trámite 3/LIF "Aviso que presentan los contribuyentes manifestando la aplicación de un estímulo fiscal que se otorga a los que adquieran o importen diésel o </w:t>
      </w:r>
      <w:proofErr w:type="spellStart"/>
      <w:r w:rsidRPr="00FB5309">
        <w:rPr>
          <w:rFonts w:ascii="Arial" w:eastAsia="Times New Roman" w:hAnsi="Arial" w:cs="Arial"/>
          <w:color w:val="2F2F2F"/>
          <w:sz w:val="18"/>
          <w:szCs w:val="18"/>
          <w:lang w:eastAsia="es-MX"/>
        </w:rPr>
        <w:t>biodiésel</w:t>
      </w:r>
      <w:proofErr w:type="spellEnd"/>
      <w:r w:rsidRPr="00FB5309">
        <w:rPr>
          <w:rFonts w:ascii="Arial" w:eastAsia="Times New Roman" w:hAnsi="Arial" w:cs="Arial"/>
          <w:color w:val="2F2F2F"/>
          <w:sz w:val="18"/>
          <w:szCs w:val="18"/>
          <w:lang w:eastAsia="es-MX"/>
        </w:rPr>
        <w:t xml:space="preserve"> y sus mezclas para su consumo final y que sea para uso automotriz en vehículos que se destinen exclusivamente al transporte público y privado de personas o de carga", contenida en el Anexo 1-A de la RMF.</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Título 3. Sector de Autotransporte Terrestre Foráneo de Pasaje y Turismo</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Comprobación de erogaciones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3.1.</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 los artículos 72, fracción II, cuarto párrafo y 73 de la Ley del ISR, las personas a que se refieren las fracciones siguientes podrán considerar deducibles las erogaciones realizadas en el ejercicio fiscal, que correspondan al vehículo o vehículos que administren, siempre que cumplan con los requisitos que establecen las disposiciones fiscales para ello:</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Personas físicas y morales dedicadas exclusivamente al autotransporte terrestre foráneo de pasaje y turismo que hayan optado por pagar el impuesto individualmente.</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Personas físicas dedicadas exclusivamente al autotransporte terrestre foráneo de pasaje y turismo que hayan optado por pagar el impuesto por conducto de los coordinados de las que son integrantes.</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Personas morales dedicadas exclusivamente al autotransporte terrestre foráneo de pasaje y turismo que cumplan sus obligaciones fiscales a través de coordinados.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 anterior es aplicable incluso cuando el comprobante fiscal de los mismos se encuentre a nombre del coordinado, de acuerdo a la opción elegida por el contribuyente para dar cumplimiento a sus obligaciones fiscales.</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lastRenderedPageBreak/>
        <w:t>Retención del ISR a operadores, cobradores, mecánicos y maestros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3.2.</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personas físicas y morales dedicados exclusivamente al autotransporte terrestre foráneo de pasaje y turismo, que tributen en los términos del Título II, Capítulo VII o Título IV, Capítulo II, Sección I, de la Ley del ISR, según sea el caso, para los efectos del cumplimiento de las obligaciones fiscales en materia de retenciones del ISR por los pagos efectuados a sus trabajadores, en lugar de aplicar las disposiciones correspondientes al pago de salarios, podrán enterar el 7.5 por ciento por concepto de retenciones del ISR, correspondiente a los pagos efectivamente realizados a operadores, cobradores, mecánicos y maestros, tomando como referencia el salario base de cotización que sirva para el cálculo de las aportaciones de dichos trabajadores al IMSS, conforme a la normatividad aplicable, en cuyo caso, deberán elaborar y entregar a más tardar el 15 de febrero de 2024, una relación individualizada de dicho personal que indique el monto de las cantidades que les son pagadas en el periodo de que se trate, en los términos en que se elabora para los efectos de las aportaciones que realicen al IMSS, de conformidad con la ficha de trámite 94/ISR "Aviso que presentan los contribuyentes dedicados a la actividad de autotransporte terrestre foráneo de pasaje y turismo que ejercen la opción de enterar el 7.5 por ciento por concepto de retenciones de ISR", contenida en el Anexo 1-A de la RMF, además de emitir el CFDI y su complemento por concepto de nómina correspondiente.</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Tratándose de pagos realizados a los trabajadores distintos de los señalados en esta regla, se estará a lo dispuesto en la Ley del ISR.</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Lo dispuesto en esta regla será aplicable a las personas físicas, morales o </w:t>
      </w:r>
      <w:proofErr w:type="gramStart"/>
      <w:r w:rsidRPr="00FB5309">
        <w:rPr>
          <w:rFonts w:ascii="Arial" w:eastAsia="Times New Roman" w:hAnsi="Arial" w:cs="Arial"/>
          <w:color w:val="2F2F2F"/>
          <w:sz w:val="18"/>
          <w:szCs w:val="18"/>
          <w:lang w:eastAsia="es-MX"/>
        </w:rPr>
        <w:t>coordinados, dedicados</w:t>
      </w:r>
      <w:proofErr w:type="gramEnd"/>
      <w:r w:rsidRPr="00FB5309">
        <w:rPr>
          <w:rFonts w:ascii="Arial" w:eastAsia="Times New Roman" w:hAnsi="Arial" w:cs="Arial"/>
          <w:color w:val="2F2F2F"/>
          <w:sz w:val="18"/>
          <w:szCs w:val="18"/>
          <w:lang w:eastAsia="es-MX"/>
        </w:rPr>
        <w:t> exclusivamente al autotransporte terrestre foráneo de pasaje y turismo, siempre que no presten preponderantemente sus servicios a otra persona moral residente en el país o en el extranjero, que se considere parte relacionada en los términos de la Ley del ISR.</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Facilidades de comprobación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3.3.</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Para los efectos de la Ley del ISR, los contribuyentes personas físicas y morales, </w:t>
      </w:r>
      <w:r w:rsidRPr="00FB5309">
        <w:rPr>
          <w:rFonts w:ascii="Arial" w:eastAsia="Times New Roman" w:hAnsi="Arial" w:cs="Arial"/>
          <w:color w:val="2F2F2F"/>
          <w:sz w:val="18"/>
          <w:szCs w:val="18"/>
          <w:lang w:eastAsia="es-MX"/>
        </w:rPr>
        <w:t>dedicados exclusivamente al autotransporte terrestre foráneo de pasaje y turismo, que tributen en los términos del Título II, Capítulo VII o Título IV</w:t>
      </w:r>
      <w:r w:rsidRPr="00FB5309">
        <w:rPr>
          <w:rFonts w:ascii="Arial" w:eastAsia="Times New Roman" w:hAnsi="Arial" w:cs="Arial"/>
          <w:color w:val="000000"/>
          <w:sz w:val="18"/>
          <w:szCs w:val="18"/>
          <w:lang w:eastAsia="es-MX"/>
        </w:rPr>
        <w:t>, Capítulo II, Sección I de la Ley del ISR, podrán deducir hasta el equivalente a un 8 por ciento de los ingresos propios de su actividad, sin exceder de $1,000,000.00 (un millón de pesos 00/100 M.N.) durante el ejercicio, sin documentación que reúna requisitos fiscales, siempre que:</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El gasto haya sido efectivamente realizado en el ejercicio fiscal de que se trate y esté vinculado con la actividad.</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La erogación por la cual se aplique la facilidad se encuentre registrada en su contabilidad por concepto y en forma acumulativa durante el ejercicio fiscal.</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Efectúe el pago por concepto del ISR anual sobre el monto que haya sido deducido por este concepto a la tasa del 16 por ciento. El impuesto anual pagado sobre dicho monto se considerará como definitivo y no será acreditable, ni deducible para efectos fiscales. En el caso de los coordinados o personas morales que tributen por cuenta de sus integrantes, efectuarán por cuenta de los mismos el entero de dicho impuesto.</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IV.</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Los contribuyentes que opten por la deducción a que se refiere esta regla deberán efectuar pagos provisionales a cuenta del impuesto anual a que se refiere la fracción anterior, los que se determinarán considerando la deducción realizada en el periodo de pago acumulado del ejercicio fiscal de que se trate, aplicando la tasa del 16 por ciento, pudiendo acreditar los pagos provisionales del mismo ejercicio fiscal realizados con anterioridad por el mismo concepto. Estos pagos provisionales se enterarán a través de las declaraciones del ISR personas físicas, actividad empresarial y profesional o ISR personas morales, régimen de los coordinados, impuesto propio, respectivamente o de sus integrantes, a más tardar el día 17 del mes siguiente a aquél por el que se efectúe la deducción, o aquél que corresponda de conformidad con el artículo 5.1. </w:t>
      </w:r>
      <w:proofErr w:type="gramStart"/>
      <w:r w:rsidRPr="00FB5309">
        <w:rPr>
          <w:rFonts w:ascii="Arial" w:eastAsia="Times New Roman" w:hAnsi="Arial" w:cs="Arial"/>
          <w:color w:val="2F2F2F"/>
          <w:sz w:val="18"/>
          <w:szCs w:val="18"/>
          <w:lang w:eastAsia="es-MX"/>
        </w:rPr>
        <w:t>del</w:t>
      </w:r>
      <w:proofErr w:type="gramEnd"/>
      <w:r w:rsidRPr="00FB5309">
        <w:rPr>
          <w:rFonts w:ascii="Arial" w:eastAsia="Times New Roman" w:hAnsi="Arial" w:cs="Arial"/>
          <w:color w:val="2F2F2F"/>
          <w:sz w:val="18"/>
          <w:szCs w:val="18"/>
          <w:lang w:eastAsia="es-MX"/>
        </w:rPr>
        <w:t xml:space="preserve"> Decreto que compila diversos beneficios fiscales y establece medidas de simplificación administrativa, publicado en el Diario Oficial de la Federación el 26 de diciembre de 2013.</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la presente Resolución.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lastRenderedPageBreak/>
        <w:t>         </w:t>
      </w:r>
      <w:r w:rsidRPr="00FB5309">
        <w:rPr>
          <w:rFonts w:ascii="Arial" w:eastAsia="Times New Roman" w:hAnsi="Arial" w:cs="Arial"/>
          <w:color w:val="2F2F2F"/>
          <w:sz w:val="18"/>
          <w:szCs w:val="18"/>
          <w:lang w:eastAsia="es-MX"/>
        </w:rPr>
        <w:t>Los contribuyentes a que se refiere el primer párrafo de esta regla deberán informar en la declaración anual del ISR, el monto de la deducción correspondiente, en el campo "Facilidades administrativas y estímulos deducibles" en la opción "Deducción equivalente hasta 8% de ingresos propios sin documentación que reúna requisitos fiscales para contribuyentes dedicados exclusivamente al autotransporte".</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 dispuesto en esta regla no será aplicable a los gastos que realicen los contribuyentes por concepto de adquisición de combustibles para realizar su actividad.</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Concepto de coordinado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3.4.</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 lo dispuesto en los artículos 72 y 73 de la Ley del ISR, los contribuyentes dedicados a la actividad de autotransporte terrestre de pasaje y turismo, considerarán como coordinado a toda persona moral dedicada exclusivamente al servicio de autotransporte terrestre de pasaje y turismo, que agrupa y se integra con otras personas físicas y personas morales similares y complementarias, constituidas para proporcionar servicios requeridos por la actividad común de autotransporte de pasaje y turismo. Estos elementos integran una unidad económica con intereses comunes y participan en forma conjunta y en diversas proporciones no identificables, con los propósitos siguientes:</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Coordinar y convenir los servicios que se presten en forma conjunta, incluyendo las empresas que presten servicios o posean inmuebles, dedicados a la actividad del autotransporte terrestre de pasaje y turismo. Tratándose de centrales camioneras o terminales de autobuses que no sean integrantes de algún coordinado, podrán tributar en el Título II, Capítulo VII de la Ley del ISR, siempre que se encuentren integradas por empresas dedicadas al autotransporte terrestre de pasaje y turismo y presten sus servicios preponderantemente a empresas de autotransporte terrestre de pasaje y turismo y que dichas centrales camioneras o terminales de autobuses no apliquen las facilidades contenidas en las reglas 3.2., 3.3. </w:t>
      </w:r>
      <w:proofErr w:type="gramStart"/>
      <w:r w:rsidRPr="00FB5309">
        <w:rPr>
          <w:rFonts w:ascii="Arial" w:eastAsia="Times New Roman" w:hAnsi="Arial" w:cs="Arial"/>
          <w:color w:val="2F2F2F"/>
          <w:sz w:val="18"/>
          <w:szCs w:val="18"/>
          <w:lang w:eastAsia="es-MX"/>
        </w:rPr>
        <w:t>y</w:t>
      </w:r>
      <w:proofErr w:type="gramEnd"/>
      <w:r w:rsidRPr="00FB5309">
        <w:rPr>
          <w:rFonts w:ascii="Arial" w:eastAsia="Times New Roman" w:hAnsi="Arial" w:cs="Arial"/>
          <w:color w:val="2F2F2F"/>
          <w:sz w:val="18"/>
          <w:szCs w:val="18"/>
          <w:lang w:eastAsia="es-MX"/>
        </w:rPr>
        <w:t xml:space="preserve"> 3.12. </w:t>
      </w:r>
      <w:proofErr w:type="gramStart"/>
      <w:r w:rsidRPr="00FB5309">
        <w:rPr>
          <w:rFonts w:ascii="Arial" w:eastAsia="Times New Roman" w:hAnsi="Arial" w:cs="Arial"/>
          <w:color w:val="2F2F2F"/>
          <w:sz w:val="18"/>
          <w:szCs w:val="18"/>
          <w:lang w:eastAsia="es-MX"/>
        </w:rPr>
        <w:t>de</w:t>
      </w:r>
      <w:proofErr w:type="gramEnd"/>
      <w:r w:rsidRPr="00FB5309">
        <w:rPr>
          <w:rFonts w:ascii="Arial" w:eastAsia="Times New Roman" w:hAnsi="Arial" w:cs="Arial"/>
          <w:color w:val="2F2F2F"/>
          <w:sz w:val="18"/>
          <w:szCs w:val="18"/>
          <w:lang w:eastAsia="es-MX"/>
        </w:rPr>
        <w:t xml:space="preserve"> la presente Resolución.</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Administrar los fondos que les fueron autorizados en los términos de la Resolución de Facilidades Administrativas en el Régimen Simplificado vigente hasta el 31 de diciembre de 2001.</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Cumplir con las obligaciones en materia fiscal por cuenta de cada uno de sus integrantes en forma global.</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IV.</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Contar con un manual de políticas para la aplicación de los gastos comunes y su prorrateo a cada uno de sus integrantes, el cual deberán tener a disposición de las autoridades fiscales cuando se lo soliciten.</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Responsabilidad solidaria de los coordinados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3.5.</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Los coordinados que opten por aplicar las facilidades a que se refieren las reglas 3.1., 3.2., 3.3. </w:t>
      </w:r>
      <w:proofErr w:type="gramStart"/>
      <w:r w:rsidRPr="00FB5309">
        <w:rPr>
          <w:rFonts w:ascii="Arial" w:eastAsia="Times New Roman" w:hAnsi="Arial" w:cs="Arial"/>
          <w:color w:val="2F2F2F"/>
          <w:sz w:val="18"/>
          <w:szCs w:val="18"/>
          <w:lang w:eastAsia="es-MX"/>
        </w:rPr>
        <w:t>y</w:t>
      </w:r>
      <w:proofErr w:type="gramEnd"/>
      <w:r w:rsidRPr="00FB5309">
        <w:rPr>
          <w:rFonts w:ascii="Arial" w:eastAsia="Times New Roman" w:hAnsi="Arial" w:cs="Arial"/>
          <w:color w:val="2F2F2F"/>
          <w:sz w:val="18"/>
          <w:szCs w:val="18"/>
          <w:lang w:eastAsia="es-MX"/>
        </w:rPr>
        <w:t> 3.4. de la presente Resolución,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Servicios de paquetería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3.6.</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del artículo 29 del CFF, los contribuyentes personas físicas y morales, así como los coordinados, dedicados exclusivamente al autotransporte terrestre foráneo de pasaje y turismo, que tributen en los términos del Título II, Capítulo VII o Título IV, Capítulo II, Sección I de la Ley del ISR, que presten el servicio de paquetería, podrán abstenerse de acompañar a las mercancías en transporte, el pedimento de importación, la nota de remisión o de envío, siempre que se cumpla con la obligación de acompañar la guía de envío respectiva y emitan el CFDI con complemento Carta Porte en los casos en que proceda conforme a la legislación aplicable.</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Guías de envío sin orden cronológico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3.7.</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personas físicas y morales dedicados exclusivamente al autotransporte terrestre foráneo de pasaje y turismo, que tributen en los términos del Título II, Capítulo VII o Título IV, Capítulo II, Sección I de la Ley del ISR, podrán utilizar una numeración consecutiva en las guías de envío que expidan sus áreas de envío simultáneamente en todas sus sucursales, sin que tengan la obligación de que la numeración sea utilizada en estricto orden cronológico, siempre y cuando se lleve un control por fecha de entrega y número de las guías de envío entregadas a cada una de las sucursales, que permita determinar el ingreso de cada una de ellas, así como la numeración de las guías de envío pendientes de utilizar.</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En las guías de envío que sean expedidas por las sucursales de los contribuyentes a que se refiere esta regla, éstos podrán abstenerse de utilizar series por cada sucursal, así como de anotar el domicilio del establecimiento que la expide, debiendo anotar, en este último caso, el domicilio fiscal de la casa matriz.</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Domicilio fiscal consignado en los comprobantes o boletos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lastRenderedPageBreak/>
        <w:t>3.8.</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efectos de lo dispuesto en el artículo 29-A, fracción I del CFF, los contribuyentes personas físicas y morales dedicados exclusivamente al autotransporte terrestre foráneo de pasaje y turismo, que tributen en los términos del Título II, Capítulo VII o Título IV, Capítulo II, Sección I de la Ley del ISR, podrán anotar en los CFDI o en los boletos que expidan como domicilio fiscal el que corresponda a la casa matriz, en lugar de señalar el domicilio fiscal del local o establecimiento en donde se expiden dichos comprobantes.</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Enajenación de acciones emitidas por empresas dedicadas al autotransporte terrestre foráneo de</w:t>
      </w:r>
      <w:r w:rsidRPr="00FB5309">
        <w:rPr>
          <w:rFonts w:ascii="Arial" w:eastAsia="Times New Roman" w:hAnsi="Arial" w:cs="Arial"/>
          <w:color w:val="2F2F2F"/>
          <w:sz w:val="18"/>
          <w:szCs w:val="18"/>
          <w:lang w:eastAsia="es-MX"/>
        </w:rPr>
        <w:br/>
      </w:r>
      <w:r w:rsidRPr="00FB5309">
        <w:rPr>
          <w:rFonts w:ascii="Arial" w:eastAsia="Times New Roman" w:hAnsi="Arial" w:cs="Arial"/>
          <w:b/>
          <w:bCs/>
          <w:color w:val="000000"/>
          <w:sz w:val="18"/>
          <w:szCs w:val="18"/>
          <w:lang w:eastAsia="es-MX"/>
        </w:rPr>
        <w:t>pasaje y turismo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3.9.</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En el caso de enajenación de acciones emitidas específicamente por personas morales dedicadas exclusivamente a la actividad de autotransporte terrestre foráneo de pasaje y turismo que tributen en los términos del Título II, Capítulo VII de la Ley del ISR, que sean enajenadas por personas dedicadas a la actividad de autotransporte terrestre foráneo de pasaje y turismo, se releva al adquirente de las mismas de la obligación de efectuar la retención del 20 por ciento a que se refiere el artículo 126, cuarto párrafo de la Ley del ISR, siempre que el enajenante de las acciones acumule a sus ingresos propios de la actividad de autotransporte terrestre de pasaje y turismo, la utilidad que se determine por dicha enajenación en los términos de los artículos 22, 23, 72, cuarto párrafo y 126 de la citada Ley.</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Para los efectos del párrafo anterior, el integrante del coordinado que enajene las acciones o, en su caso, el coordinado a través del cual este cumpla con sus obligaciones fiscales, deberá presentar un dictamen de enajenación de acciones por contador público inscrito, conforme a lo establecido en la regla 2.10.1. </w:t>
      </w:r>
      <w:proofErr w:type="gramStart"/>
      <w:r w:rsidRPr="00FB5309">
        <w:rPr>
          <w:rFonts w:ascii="Arial" w:eastAsia="Times New Roman" w:hAnsi="Arial" w:cs="Arial"/>
          <w:color w:val="2F2F2F"/>
          <w:sz w:val="18"/>
          <w:szCs w:val="18"/>
          <w:lang w:eastAsia="es-MX"/>
        </w:rPr>
        <w:t>de</w:t>
      </w:r>
      <w:proofErr w:type="gramEnd"/>
      <w:r w:rsidRPr="00FB5309">
        <w:rPr>
          <w:rFonts w:ascii="Arial" w:eastAsia="Times New Roman" w:hAnsi="Arial" w:cs="Arial"/>
          <w:color w:val="2F2F2F"/>
          <w:sz w:val="18"/>
          <w:szCs w:val="18"/>
          <w:lang w:eastAsia="es-MX"/>
        </w:rPr>
        <w:t xml:space="preserve"> la RMF.</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 xml:space="preserve">Adquisición de diésel, </w:t>
      </w:r>
      <w:proofErr w:type="spellStart"/>
      <w:r w:rsidRPr="00FB5309">
        <w:rPr>
          <w:rFonts w:ascii="Arial" w:eastAsia="Times New Roman" w:hAnsi="Arial" w:cs="Arial"/>
          <w:b/>
          <w:bCs/>
          <w:color w:val="000000"/>
          <w:sz w:val="18"/>
          <w:szCs w:val="18"/>
          <w:lang w:eastAsia="es-MX"/>
        </w:rPr>
        <w:t>biodiésel</w:t>
      </w:r>
      <w:proofErr w:type="spellEnd"/>
      <w:r w:rsidRPr="00FB5309">
        <w:rPr>
          <w:rFonts w:ascii="Arial" w:eastAsia="Times New Roman" w:hAnsi="Arial" w:cs="Arial"/>
          <w:b/>
          <w:bCs/>
          <w:color w:val="000000"/>
          <w:sz w:val="18"/>
          <w:szCs w:val="18"/>
          <w:lang w:eastAsia="es-MX"/>
        </w:rPr>
        <w:t xml:space="preserve"> y sus mezclas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3.10.</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Para los efectos de lo dispuesto en el artículo 16, apartado A, fracción IV de la LIF, se considera que los contribuyentes dedicados a la actividad de autotransporte terrestre foráneo de pasaje y turismo podrán aplicar el estímulo fiscal a que se refiere dicha fracción cuando el diésel o </w:t>
      </w:r>
      <w:proofErr w:type="spellStart"/>
      <w:r w:rsidRPr="00FB5309">
        <w:rPr>
          <w:rFonts w:ascii="Arial" w:eastAsia="Times New Roman" w:hAnsi="Arial" w:cs="Arial"/>
          <w:color w:val="2F2F2F"/>
          <w:sz w:val="18"/>
          <w:szCs w:val="18"/>
          <w:lang w:eastAsia="es-MX"/>
        </w:rPr>
        <w:t>biodiésel</w:t>
      </w:r>
      <w:proofErr w:type="spellEnd"/>
      <w:r w:rsidRPr="00FB5309">
        <w:rPr>
          <w:rFonts w:ascii="Arial" w:eastAsia="Times New Roman" w:hAnsi="Arial" w:cs="Arial"/>
          <w:color w:val="2F2F2F"/>
          <w:sz w:val="18"/>
          <w:szCs w:val="18"/>
          <w:lang w:eastAsia="es-MX"/>
        </w:rPr>
        <w:t> y sus mezclas, sean adquiridos en las estaciones de servicio de autoconsumo de los citados contribuyentes, y en el comprobante fiscal conste la información del permiso vigente, expedido en los términos de la Ley de Hidrocarburos al proveedor del combustible y que, en su caso, dicho permiso no se encuentre suspendido al momento de la expedición del comprobante fiscal.</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Aviso de opción para tributar a través de un coordinado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3.11.</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del artículo 72, fracción II, cuarto párrafo de la Ley del ISR, quienes opten por pagar el ISR a través de un coordinado o de varios coordinados de autotransporte terrestre foráneo de pasaje y turismo de los que sean integrantes, deberán presentar además del aviso de opción, el de actualización de actividades económicas y obligaciones ante las autoridades fiscales e informar por escrito al coordinado del que sean integrantes, que ejercerán dicha opción y que presentaron el aviso de actualización ante el RFC, a más tardar dentro de los treinta días siguientes a la entrada en vigor de la presente Resolución, en los términos de lo establecido en el artículo 30, fracción V del Reglamento del CFF y en la ficha de trámite 71/CFF "Aviso de actualización de actividades económicas y obligaciones", contenida en el Anexo 1-A de la RMF. Los contribuyentes que por ejercicios anteriores hubieran presentado su aviso de opción para tributar a través de un coordinado y de actualización de actividades económicas y obligaciones, a que se refiere esta regla, no deberán presentar el aviso correspondiente hasta en tanto no se modifiquen sus actividades,</w:t>
      </w:r>
      <w:r w:rsidRPr="00FB5309">
        <w:rPr>
          <w:rFonts w:ascii="Arial" w:eastAsia="Times New Roman" w:hAnsi="Arial" w:cs="Arial"/>
          <w:color w:val="000000"/>
          <w:sz w:val="18"/>
          <w:szCs w:val="18"/>
          <w:lang w:eastAsia="es-MX"/>
        </w:rPr>
        <w:t> no cambien la opción elegida, o no tengan derecho a cambiarla en los términos de la propia Ley del ISR</w:t>
      </w:r>
      <w:r w:rsidRPr="00FB5309">
        <w:rPr>
          <w:rFonts w:ascii="Arial" w:eastAsia="Times New Roman" w:hAnsi="Arial" w:cs="Arial"/>
          <w:color w:val="2F2F2F"/>
          <w:sz w:val="18"/>
          <w:szCs w:val="18"/>
          <w:lang w:eastAsia="es-MX"/>
        </w:rPr>
        <w:t>.</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Adquisición de combustibles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3.12.</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personas físicas y morales, así como los coordinados, dedicados exclusivamente al autotransporte terrestre foráneo de pasaje y turismo, que tributen en los términos del Título II, Capítulo VII o Título IV, Capítulo II, Sección I de la Ley del ISR, según sea el caso, considerarán cumplida la obligación a que se refiere el segundo párrafo del artículo 27, fracción III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 y en el comprobante fiscal conste la información del permiso vigente, expedido en los términos de la Ley de Hidrocarburos al proveedor del combustible y que, en su caso, dicho permiso no se encuentre suspendido al momento de la expedición del comprobante fiscal.</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Impuesto al valor agregado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3.13.</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del artículo 72 de la Ley del ISR, los coordinados que cumplan con sus obligaciones en los términos del Título II, Capítulo VII de la citada Ley, podrán cumplir con las obligaciones fiscales en materia del IVA por cuenta de cada uno de sus integrantes, aplicando al efecto lo dispuesto en la Ley del IVA.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lastRenderedPageBreak/>
        <w:t>         </w:t>
      </w:r>
      <w:r w:rsidRPr="00FB5309">
        <w:rPr>
          <w:rFonts w:ascii="Arial" w:eastAsia="Times New Roman" w:hAnsi="Arial" w:cs="Arial"/>
          <w:color w:val="2F2F2F"/>
          <w:sz w:val="18"/>
          <w:szCs w:val="18"/>
          <w:lang w:eastAsia="es-MX"/>
        </w:rPr>
        <w:t>Asimismo, deberán emitir la liquidación a sus integrantes a través de un CFDI de retenciones e información de pagos, con los siguientes requisitos:</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Denominación o razón social, domicilio fiscal y clave en el RFC, de la persona moral, así como el número de folio consecutivo.</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Lugar y fecha de expedición.</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Nombre del integrante al que se le expida, su clave en el RFC o, en su caso, la CURP, ubicación de su negocio o domicilio y firma del mismo o de quien reciba el documento.</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IV.</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Descripción global de los conceptos de los ingresos, deducciones y, en su caso, de los impuestos y retenciones, que le correspondan al integrante de que se trate.</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coordinados deberán expedir el CFDI de retenciones e información de pagos, al cual se le deberá incorporar el "Complemento de Liquidación", que al efecto publique el SAT en su Portal de Internet. En dicho CFDI, además deberán asentar la información correspondiente al valor de actividades, el IVA que se traslada, el que les hayan trasladado, así como, en su caso, el pagado en la importación.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 esta regla, quienes opten por pagar el IVA a través de un coordinado o de varios coordinados de autotransporte terrestre foráneo de pasaje y turismo,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opción, indicando en el mismo, el folio y la fecha del trámite presentado ante la autoridad fiscal.</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CFF y en la ficha de trámite 71/CFF "Aviso de actualización de actividades económicas y obligaciones", contenida en el Anexo 1-A de la RMF; asimismo, dentro del plazo mencionado deberán informar al coordinado del que sean integrantes que ejercen dicha opción.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coordinados dedicados al autotransporte terrestre foráneo de pasaje y turismo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Información con proveedores del IVA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3.14.</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 la obligación a que se refiere el artículo 32, fracción VIII de la Ley del IVA, tratándose de coordinados de autotransporte terrestre foráneo de pasaje y turismo que cumplan con las obligaciones fiscales por cuenta de sus integrantes, presentarán la información en forma global por sus operaciones y las de sus integrantes, por las actividades empresariales que se realicen a través del coordinado.</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FB5309">
        <w:rPr>
          <w:rFonts w:ascii="Arial" w:eastAsia="Times New Roman" w:hAnsi="Arial" w:cs="Arial"/>
          <w:b/>
          <w:bCs/>
          <w:color w:val="000000"/>
          <w:sz w:val="18"/>
          <w:szCs w:val="18"/>
          <w:lang w:eastAsia="es-MX"/>
        </w:rPr>
        <w:t>Acreditamiento</w:t>
      </w:r>
      <w:proofErr w:type="spellEnd"/>
      <w:r w:rsidRPr="00FB5309">
        <w:rPr>
          <w:rFonts w:ascii="Arial" w:eastAsia="Times New Roman" w:hAnsi="Arial" w:cs="Arial"/>
          <w:b/>
          <w:bCs/>
          <w:color w:val="000000"/>
          <w:sz w:val="18"/>
          <w:szCs w:val="18"/>
          <w:lang w:eastAsia="es-MX"/>
        </w:rPr>
        <w:t xml:space="preserve"> de estímulos fiscales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3.15.</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Los contribuyentes personas físicas y morales dedicados exclusivamente al autotransporte terrestre foráneo de pasaje y turismo, que tributen en los términos del Título II, Capítulo VII o Título IV, Capítulo II, Sección I, de la Ley del ISR, según sea el caso, podrán efectuar el </w:t>
      </w:r>
      <w:proofErr w:type="spellStart"/>
      <w:r w:rsidRPr="00FB5309">
        <w:rPr>
          <w:rFonts w:ascii="Arial" w:eastAsia="Times New Roman" w:hAnsi="Arial" w:cs="Arial"/>
          <w:color w:val="2F2F2F"/>
          <w:sz w:val="18"/>
          <w:szCs w:val="18"/>
          <w:lang w:eastAsia="es-MX"/>
        </w:rPr>
        <w:t>acreditamiento</w:t>
      </w:r>
      <w:proofErr w:type="spellEnd"/>
      <w:r w:rsidRPr="00FB5309">
        <w:rPr>
          <w:rFonts w:ascii="Arial" w:eastAsia="Times New Roman" w:hAnsi="Arial" w:cs="Arial"/>
          <w:color w:val="2F2F2F"/>
          <w:sz w:val="18"/>
          <w:szCs w:val="18"/>
          <w:lang w:eastAsia="es-MX"/>
        </w:rPr>
        <w:t xml:space="preserve"> del estímulo fiscal que les corresponda conforme a lo dispuesto en el artículo 16, apartado A, fracción IV, tercer párrafo de la LIF, contra el ISR propio causado en el ejercicio en que se importe o adquiera el combustible; contra los pagos provisionales a que se refiere la regla 3.3., fracción IV; contra el ISR anual a que se refiere la fracción III de la propia regla 3.3. </w:t>
      </w:r>
      <w:proofErr w:type="gramStart"/>
      <w:r w:rsidRPr="00FB5309">
        <w:rPr>
          <w:rFonts w:ascii="Arial" w:eastAsia="Times New Roman" w:hAnsi="Arial" w:cs="Arial"/>
          <w:color w:val="2F2F2F"/>
          <w:sz w:val="18"/>
          <w:szCs w:val="18"/>
          <w:lang w:eastAsia="es-MX"/>
        </w:rPr>
        <w:t>de</w:t>
      </w:r>
      <w:proofErr w:type="gramEnd"/>
      <w:r w:rsidRPr="00FB5309">
        <w:rPr>
          <w:rFonts w:ascii="Arial" w:eastAsia="Times New Roman" w:hAnsi="Arial" w:cs="Arial"/>
          <w:color w:val="2F2F2F"/>
          <w:sz w:val="18"/>
          <w:szCs w:val="18"/>
          <w:lang w:eastAsia="es-MX"/>
        </w:rPr>
        <w:t xml:space="preserve"> la presente Resolución; o contra las retenciones del ISR efectuadas a terceros en el mismo ejercicio.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Los contribuyentes a que se refiere el párrafo anterior, que obtengan en el ejercicio fiscal ingresos totales anuales para efectos del ISR menores a 300 millones de pesos, conforme a lo dispuesto en el artículo 16, apartado A, fracción V, segundo párrafo de la LIF, podrán efectuar el </w:t>
      </w:r>
      <w:proofErr w:type="spellStart"/>
      <w:r w:rsidRPr="00FB5309">
        <w:rPr>
          <w:rFonts w:ascii="Arial" w:eastAsia="Times New Roman" w:hAnsi="Arial" w:cs="Arial"/>
          <w:color w:val="2F2F2F"/>
          <w:sz w:val="18"/>
          <w:szCs w:val="18"/>
          <w:lang w:eastAsia="es-MX"/>
        </w:rPr>
        <w:t>acreditamiento</w:t>
      </w:r>
      <w:proofErr w:type="spellEnd"/>
      <w:r w:rsidRPr="00FB5309">
        <w:rPr>
          <w:rFonts w:ascii="Arial" w:eastAsia="Times New Roman" w:hAnsi="Arial" w:cs="Arial"/>
          <w:color w:val="2F2F2F"/>
          <w:sz w:val="18"/>
          <w:szCs w:val="18"/>
          <w:lang w:eastAsia="es-MX"/>
        </w:rPr>
        <w:t xml:space="preserve"> del estímulo fiscal a que se refiere dicha disposición, contra el ISR propio causado en el mismo ejercicio en que se realicen los gastos por el uso de la infraestructura carretera de cuota; contra los pagos provisionales a que se refiere la regla 3.3., fracción IV; o contra el ISR anual a que se refiere la fracción III de la propia regla 3.3. </w:t>
      </w:r>
      <w:proofErr w:type="gramStart"/>
      <w:r w:rsidRPr="00FB5309">
        <w:rPr>
          <w:rFonts w:ascii="Arial" w:eastAsia="Times New Roman" w:hAnsi="Arial" w:cs="Arial"/>
          <w:color w:val="2F2F2F"/>
          <w:sz w:val="18"/>
          <w:szCs w:val="18"/>
          <w:lang w:eastAsia="es-MX"/>
        </w:rPr>
        <w:t>de</w:t>
      </w:r>
      <w:proofErr w:type="gramEnd"/>
      <w:r w:rsidRPr="00FB5309">
        <w:rPr>
          <w:rFonts w:ascii="Arial" w:eastAsia="Times New Roman" w:hAnsi="Arial" w:cs="Arial"/>
          <w:color w:val="2F2F2F"/>
          <w:sz w:val="18"/>
          <w:szCs w:val="18"/>
          <w:lang w:eastAsia="es-MX"/>
        </w:rPr>
        <w:t xml:space="preserve"> la presente Resolución.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Los contribuyentes a que se refiere esta regla podrán optar por aplicar el </w:t>
      </w:r>
      <w:proofErr w:type="spellStart"/>
      <w:r w:rsidRPr="00FB5309">
        <w:rPr>
          <w:rFonts w:ascii="Arial" w:eastAsia="Times New Roman" w:hAnsi="Arial" w:cs="Arial"/>
          <w:color w:val="2F2F2F"/>
          <w:sz w:val="18"/>
          <w:szCs w:val="18"/>
          <w:lang w:eastAsia="es-MX"/>
        </w:rPr>
        <w:t>acreditamiento</w:t>
      </w:r>
      <w:proofErr w:type="spellEnd"/>
      <w:r w:rsidRPr="00FB5309">
        <w:rPr>
          <w:rFonts w:ascii="Arial" w:eastAsia="Times New Roman" w:hAnsi="Arial" w:cs="Arial"/>
          <w:color w:val="2F2F2F"/>
          <w:sz w:val="18"/>
          <w:szCs w:val="18"/>
          <w:lang w:eastAsia="es-MX"/>
        </w:rPr>
        <w:t xml:space="preserve"> de los estímulos mencionados contra los pagos provisionales del ISR del ejercicio, calculados conforme a lo dispuesto por la Ley de la materia, siempre que los pagos provisionales que acrediten en la declaración del ejercicio no </w:t>
      </w:r>
      <w:r w:rsidRPr="00FB5309">
        <w:rPr>
          <w:rFonts w:ascii="Arial" w:eastAsia="Times New Roman" w:hAnsi="Arial" w:cs="Arial"/>
          <w:color w:val="2F2F2F"/>
          <w:sz w:val="18"/>
          <w:szCs w:val="18"/>
          <w:lang w:eastAsia="es-MX"/>
        </w:rPr>
        <w:lastRenderedPageBreak/>
        <w:t>consideren los montos de los estímulos fiscales mencionados que hayan acreditado en dichos pagos provisionales.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El </w:t>
      </w:r>
      <w:proofErr w:type="spellStart"/>
      <w:r w:rsidRPr="00FB5309">
        <w:rPr>
          <w:rFonts w:ascii="Arial" w:eastAsia="Times New Roman" w:hAnsi="Arial" w:cs="Arial"/>
          <w:color w:val="2F2F2F"/>
          <w:sz w:val="18"/>
          <w:szCs w:val="18"/>
          <w:lang w:eastAsia="es-MX"/>
        </w:rPr>
        <w:t>acreditamiento</w:t>
      </w:r>
      <w:proofErr w:type="spellEnd"/>
      <w:r w:rsidRPr="00FB5309">
        <w:rPr>
          <w:rFonts w:ascii="Arial" w:eastAsia="Times New Roman" w:hAnsi="Arial" w:cs="Arial"/>
          <w:color w:val="2F2F2F"/>
          <w:sz w:val="18"/>
          <w:szCs w:val="18"/>
          <w:lang w:eastAsia="es-MX"/>
        </w:rPr>
        <w:t xml:space="preserve"> de los estímulos mencionados se podrá aplicar contra los pagos provisionales a cuenta del ISR anual a que se refiere la fracción III de la regla 3.3. </w:t>
      </w:r>
      <w:proofErr w:type="gramStart"/>
      <w:r w:rsidRPr="00FB5309">
        <w:rPr>
          <w:rFonts w:ascii="Arial" w:eastAsia="Times New Roman" w:hAnsi="Arial" w:cs="Arial"/>
          <w:color w:val="2F2F2F"/>
          <w:sz w:val="18"/>
          <w:szCs w:val="18"/>
          <w:lang w:eastAsia="es-MX"/>
        </w:rPr>
        <w:t>de</w:t>
      </w:r>
      <w:proofErr w:type="gramEnd"/>
      <w:r w:rsidRPr="00FB5309">
        <w:rPr>
          <w:rFonts w:ascii="Arial" w:eastAsia="Times New Roman" w:hAnsi="Arial" w:cs="Arial"/>
          <w:color w:val="2F2F2F"/>
          <w:sz w:val="18"/>
          <w:szCs w:val="18"/>
          <w:lang w:eastAsia="es-MX"/>
        </w:rPr>
        <w:t xml:space="preserve"> esta Resolución, calculados conforme a lo dispuesto en la fracción IV de la misma disposición, siempre que los pagos provisionales que acrediten en la declaración del citado ISR anual no consideren los montos de los estímulos fiscales mencionados que hayan acreditado contra dichos pagos provisionales.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considerarán como ingresos acumulables para los efectos del ISR los estímulos a que hace referencia la presente regla en el momento en que efectivamente los acrediten.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Para los efectos del artículo 16, apartado A, fracción V, primer párrafo de la LIF, cuando los ingresos totales anuales obtenidos por los contribuyentes a que se refiere el segundo párrafo de la presente regla sean iguales o excedan en cualquier momento del ejercicio de 300 millones de pesos, dejarán de aplicar desde el inicio del ejercicio el </w:t>
      </w:r>
      <w:proofErr w:type="spellStart"/>
      <w:r w:rsidRPr="00FB5309">
        <w:rPr>
          <w:rFonts w:ascii="Arial" w:eastAsia="Times New Roman" w:hAnsi="Arial" w:cs="Arial"/>
          <w:color w:val="2F2F2F"/>
          <w:sz w:val="18"/>
          <w:szCs w:val="18"/>
          <w:lang w:eastAsia="es-MX"/>
        </w:rPr>
        <w:t>acreditamiento</w:t>
      </w:r>
      <w:proofErr w:type="spellEnd"/>
      <w:r w:rsidRPr="00FB5309">
        <w:rPr>
          <w:rFonts w:ascii="Arial" w:eastAsia="Times New Roman" w:hAnsi="Arial" w:cs="Arial"/>
          <w:color w:val="2F2F2F"/>
          <w:sz w:val="18"/>
          <w:szCs w:val="18"/>
          <w:lang w:eastAsia="es-MX"/>
        </w:rPr>
        <w:t xml:space="preserve"> del estímulo fiscal a que se refiere el artículo 16, apartado A, fracción V, primer párrafo de la LIF, por lo cual, deberán presentar declaraciones complementarias de los meses anteriores y, en su caso, enterar la diferencia del impuesto no cubierta con su respectiva actualización y recargos correspondientes. El impuesto que resulte se actualizará por el periodo comprendido desde el mes en el que se presentó la declaración en la que se aplicó el estímulo fiscal hasta el mes en el que se efectúe el pago correspondiente, de conformidad con el artículo 17-A del CFF; además, el contribuyente deberá cubrir los recargos por el mismo periodo de conformidad con el artículo 21 del Código citado.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que inicien actividades podrán aplicar lo dispuesto en el tercer párrafo de esta regla respecto del estímulo fiscal a que se refiere el artículo 16, apartado A, fracción V, primer párrafo de la LIF, cuando estimen que sus ingresos totales anuales del ejercicio no excederán el monto establecido en la citada disposición. Cuando en el ejercicio inicial realicen operaciones por un periodo menor a doce meses, para determinar el monto citado, dividirán los ingresos obtenidos entre el número de días que comprenda el periodo y el resultado se multiplicará por 365 días. Si la cantidad obtenida es igual o excede del monto referido, la facilidad a que se refiere esta regla se dejará de aplicar desde el inicio del ejercicio y se estará a lo dispuesto en el quinto párrafo de la misma.</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Aviso de aplicación del estímulo fiscal</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3.16.</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Para los efectos del artículo 25 del CFF y la regla 3.15. de esta Resolución, los contribuyentes que apliquen el estímulo a que se refiere el artículo 16, apartado A, fracción IV de la LIF, únicamente deberán presentar el aviso a que se refiere el citado artículo 25, cuando apliquen por primera vez dicho estímulo en la declaración de pago provisional, definitiva o en la declaración anual, según se trate, dentro de los quince días siguientes a la presentación de la declaración en la que se aplique el estímulo, de conformidad con la ficha de trámite 3/LIF "Aviso que presentan los contribuyentes manifestando la aplicación de un estímulo fiscal que se otorga a los que adquieran o importen diésel o </w:t>
      </w:r>
      <w:proofErr w:type="spellStart"/>
      <w:r w:rsidRPr="00FB5309">
        <w:rPr>
          <w:rFonts w:ascii="Arial" w:eastAsia="Times New Roman" w:hAnsi="Arial" w:cs="Arial"/>
          <w:color w:val="2F2F2F"/>
          <w:sz w:val="18"/>
          <w:szCs w:val="18"/>
          <w:lang w:eastAsia="es-MX"/>
        </w:rPr>
        <w:t>biodiésel</w:t>
      </w:r>
      <w:proofErr w:type="spellEnd"/>
      <w:r w:rsidRPr="00FB5309">
        <w:rPr>
          <w:rFonts w:ascii="Arial" w:eastAsia="Times New Roman" w:hAnsi="Arial" w:cs="Arial"/>
          <w:color w:val="2F2F2F"/>
          <w:sz w:val="18"/>
          <w:szCs w:val="18"/>
          <w:lang w:eastAsia="es-MX"/>
        </w:rPr>
        <w:t xml:space="preserve"> y sus mezclas para su consumo final y que sea para uso automotriz en vehículos que se destinen exclusivamente al transporte público y privado de personas o de carga", contenida en el Anexo 1-A de la RMF.</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Título 4. Sector de Autotransporte Terrestre de Carga de Materiales y Autotransporte Terrestre de</w:t>
      </w:r>
      <w:r w:rsidRPr="00FB5309">
        <w:rPr>
          <w:rFonts w:ascii="Arial" w:eastAsia="Times New Roman" w:hAnsi="Arial" w:cs="Arial"/>
          <w:color w:val="2F2F2F"/>
          <w:sz w:val="18"/>
          <w:szCs w:val="18"/>
          <w:lang w:eastAsia="es-MX"/>
        </w:rPr>
        <w:br/>
      </w:r>
      <w:r w:rsidRPr="00FB5309">
        <w:rPr>
          <w:rFonts w:ascii="Arial" w:eastAsia="Times New Roman" w:hAnsi="Arial" w:cs="Arial"/>
          <w:b/>
          <w:bCs/>
          <w:color w:val="000000"/>
          <w:sz w:val="18"/>
          <w:szCs w:val="18"/>
          <w:lang w:eastAsia="es-MX"/>
        </w:rPr>
        <w:t>Pasajeros Urbano y Suburbano</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Contribuyentes que prestan servicios locales o servicios públicos de grúas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4.1.</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dedicados exclusivamente al autotransporte terrestre de carga, que presten servicios locales o servicios públicos de grúas, que tributen en los términos del Título II, Capítulo VII o Título IV, Capítulo II, Sección I de la Ley del ISR, según sea el caso, podrán optar por cumplir con sus obligaciones fiscales conforme a lo establecido en este Título, siempre que los servicios no se proporcionen a integrantes del coordinado.</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Facilidades de comprobación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4.2.</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 la Ley del ISR, los contribuyentes personas físicas y morales, dedicados exclusivamente al autotransporte terrestre de carga de materiales o autotransporte terrestre de pasajeros urbano y suburbano, que tributen en los términos del Título II, Capítulo VII o Título IV, Capítulo II, Sección I de la Ley del ISR, podrán deducir hasta el equivalente a un 8 por ciento de los ingresos propios de su actividad, sin exceder de $1,000,000.00 (un millón de pesos 00/100 M.N.) durante el ejercicio, sin documentación que reúna requisitos fiscales, siempre que:</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El gasto haya sido efectivamente realizado en el ejercicio fiscal de que se trate y esté vinculado con la actividad.</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lastRenderedPageBreak/>
        <w:t>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La erogación por la cual se aplique la facilidad se encuentre registrada en su contabilidad por concepto y en forma acumulativa durante el ejercicio fiscal.</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color w:val="2F2F2F"/>
          <w:sz w:val="18"/>
          <w:szCs w:val="18"/>
          <w:lang w:eastAsia="es-MX"/>
        </w:rPr>
        <w:t> </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Efectúe el pago por concepto del ISR anual sobre el monto que haya sido deducido por este concepto a la tasa del 16 por ciento. El impuesto anual pagado sobre dicho monto se considerará como definitivo y no será acreditable, ni deducible para efectos fiscales. En el caso de los coordinados o personas morales que tributen por cuenta de sus integrantes, efectuarán por cuenta de los mismos el entero de dicho impuesto.</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IV.</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Los contribuyentes que opten por la deducción a que se refiere esta regla deberán efectuar pagos provisionales a cuenta del impuesto anual a que se refiere la fracción anterior, los que se determinarán considerando la deducción realizada en el periodo de pago acumulado del ejercicio fiscal de que se trate, aplicando la tasa del 16 por ciento, pudiendo acreditar los pagos provisionales del mismo ejercicio fiscal realizados con anterioridad por el mismo concepto. Estos pagos provisionales se enterarán a través de las declaraciones del ISR personas físicas, actividad empresarial y profesional o ISR personas morales, régimen de los coordinados, impuesto propio, respectivamente o de sus integrantes, a más tardar el día 17 del mes siguiente a aquél por el que se efectúe la deducción, o aquél que corresponda de conformidad con el artículo 5.1. </w:t>
      </w:r>
      <w:proofErr w:type="gramStart"/>
      <w:r w:rsidRPr="00FB5309">
        <w:rPr>
          <w:rFonts w:ascii="Arial" w:eastAsia="Times New Roman" w:hAnsi="Arial" w:cs="Arial"/>
          <w:color w:val="2F2F2F"/>
          <w:sz w:val="18"/>
          <w:szCs w:val="18"/>
          <w:lang w:eastAsia="es-MX"/>
        </w:rPr>
        <w:t>del</w:t>
      </w:r>
      <w:proofErr w:type="gramEnd"/>
      <w:r w:rsidRPr="00FB5309">
        <w:rPr>
          <w:rFonts w:ascii="Arial" w:eastAsia="Times New Roman" w:hAnsi="Arial" w:cs="Arial"/>
          <w:color w:val="2F2F2F"/>
          <w:sz w:val="18"/>
          <w:szCs w:val="18"/>
          <w:lang w:eastAsia="es-MX"/>
        </w:rPr>
        <w:t xml:space="preserve"> Decreto que compila diversos beneficios fiscales y establece medidas de simplificación administrativa, publicado en el Diario Oficial de la Federación el 26 de diciembre de 2013.</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la presente Resolución.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a que se refiere el primer párrafo de esta regla deberán informar en la declaración anual del ISR, el monto de la deducción correspondiente, en el campo "Facilidades administrativas y estímulos deducibles" en la opción "Deducción equivalente hasta 8% de ingresos propios sin documentación que reúna requisitos fiscales para contribuyentes dedicados exclusivamente al autotransporte".</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 dispuesto en esta regla no será aplicable a los gastos que realicen los contribuyentes por concepto de adquisición de combustibles para realizar su actividad.</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Responsabilidad solidaria de los coordinados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4.3.</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coordinados que opten por aplicar las facilidades a que se refiere la regla 4.1. de la presente Resolución,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Aviso de opción para tributar a través de un coordinado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4.4.</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del artículo 72, fracción II, cuarto párrafo de la Ley del ISR, quienes opten por pagar el ISR a través de un coordinado o de varios coordinados de autotransporte terrestre de carga de materiales o de pasajeros urbanos y suburbanos de los que sean integrantes, deberán presentar además del aviso de opción, el de actualización de actividades económicas y obligaciones ante las autoridades fiscales e informar por escrito al coordinado del que sean integrantes, que ejercerán dicha opción y que presentaron el aviso de actualización ante el RFC, a más tardar dentro de los treinta días siguientes a la entrada en vigor de la presente Resolución, en los términos de lo establecido en el artículo 30, fracción V del Reglamento del CFF y en la ficha de trámite 71/CFF "Aviso de actualización de actividades económicas y obligaciones", contenida en el Anexo 1-A de la RMF. Los contribuyentes que por ejercicios anteriores hubieran presentado su aviso de opción para tributar a través de un coordinado y de actualización de actividades económicas y obligaciones, a que se refiere esta regla, no deberán presentar el aviso correspondiente hasta en tanto no se modifiquen sus actividades, no cambien la opción elegida, o no tengan derecho a cambiarla en los términos de la propia Ley del ISR.</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Adquisición de combustibles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lastRenderedPageBreak/>
        <w:t>4.5.</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que tributen en los términos del Título II, Capítulo VII o Título IV, Capítulo II, Sección I de la Ley del ISR, según sea el caso, dedicados exclusivamente al autotransporte terrestre de carga de materiales o autotransporte terrestre de pasajeros urbano y suburbano, considerarán cumplida la obligación a que se refiere el artículo 27, fracción III, segundo párrafo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 y en el comprobante fiscal conste la información del permiso vigente, expedido en los términos de la Ley de Hidrocarburos al proveedor del combustible y que, en su caso, dicho permiso no se encuentre suspendido al momento de la expedición del comprobante fiscal.</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Impuesto al valor agregado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4.6.</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del artículo 72 de la Ley del ISR, los coordinados del autotransporte terrestre de carga de materiales que cumplan con sus obligaciones en los términos del Título II, Capítulo VII de la citada Ley, podrán cumplir con las obligaciones fiscales en materia del IVA por cuenta de cada uno de sus integrantes, aplicando al efecto lo dispuesto en la Ley del IVA.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Asimismo, deberán emitir la liquidación a sus integrantes a través de un CFDI de retenciones e información de pagos, con los siguientes requisitos:</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Denominación o razón social, domicilio fiscal y clave en el RFC, de la persona moral, así como el número de folio consecutivo.</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Lugar y fecha de expedición.</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III.</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Nombre del integrante al que se le expida, su clave en el RFC o, en su caso, la CURP, ubicación de su negocio o domicilio y firma del mismo o de quien reciba el documento.</w:t>
      </w:r>
    </w:p>
    <w:p w:rsidR="00FB5309" w:rsidRPr="00FB5309" w:rsidRDefault="00FB5309" w:rsidP="00FB5309">
      <w:pPr>
        <w:shd w:val="clear" w:color="auto" w:fill="FFFFFF"/>
        <w:spacing w:after="101" w:line="240" w:lineRule="auto"/>
        <w:ind w:hanging="432"/>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IV.</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Descripción global de los conceptos de los ingresos, deducciones y, en su caso, de los impuestos y retenciones, que le correspondan al integrante de que se trate.</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coordinados deberán expedir el CFDI de retenciones e información de pagos, al cual se le deberá incorporar el "Complemento de Liquidación", que al efecto publique el SAT en su Portal de Internet.</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En dicho CFDI, además deberán asentar la información correspondiente al valor de actividades, el IVA que se traslada, el que les hayan trasladado, así como, en su caso, el pagado en la importación.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 esta regla, quienes opten por pagar el IVA a través de un coordinado o de varios coordinados, del autotransporte terrestre de carga de materiales,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opción, indicando en el mismo el folio y la fecha del trámite presentado ante la autoridad fiscal.</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CFF y en la ficha de trámite 71/CFF "Aviso de actualización de actividades económicas y obligaciones", contenida en el Anexo 1-A de la RMF; asimismo, deberán informar al coordinado del que sean integrantes que ejercen dicha opción.</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coordinados dedicados al autotransporte terrestre de carga de materiales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Información con proveedores del IVA</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4.7.</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Para los efectos del artículo 32, fracción VIII de la Ley del IVA, los coordinados del autotransporte terrestre de carga de materiales que cumplan con las obligaciones fiscales por cuenta de sus integrantes, presentarán la información en forma global por sus operaciones y las de sus integrantes, por las actividades empresariales que se realicen a través del coordinado.</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FB5309">
        <w:rPr>
          <w:rFonts w:ascii="Arial" w:eastAsia="Times New Roman" w:hAnsi="Arial" w:cs="Arial"/>
          <w:b/>
          <w:bCs/>
          <w:color w:val="000000"/>
          <w:sz w:val="18"/>
          <w:szCs w:val="18"/>
          <w:lang w:eastAsia="es-MX"/>
        </w:rPr>
        <w:t>Acreditamiento</w:t>
      </w:r>
      <w:proofErr w:type="spellEnd"/>
      <w:r w:rsidRPr="00FB5309">
        <w:rPr>
          <w:rFonts w:ascii="Arial" w:eastAsia="Times New Roman" w:hAnsi="Arial" w:cs="Arial"/>
          <w:b/>
          <w:bCs/>
          <w:color w:val="000000"/>
          <w:sz w:val="18"/>
          <w:szCs w:val="18"/>
          <w:lang w:eastAsia="es-MX"/>
        </w:rPr>
        <w:t xml:space="preserve"> de estímulos fiscales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4.8.</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Los contribuyentes personas físicas y morales, dedicados exclusivamente al autotransporte terrestre de carga de materiales o autotransporte terrestre de pasajeros urbano y suburbano, que tributen en los términos del Título II, Capítulo VII o Título IV, Capítulo II, Sección I, de la Ley del ISR, según sea el caso, conforme a lo </w:t>
      </w:r>
      <w:r w:rsidRPr="00FB5309">
        <w:rPr>
          <w:rFonts w:ascii="Arial" w:eastAsia="Times New Roman" w:hAnsi="Arial" w:cs="Arial"/>
          <w:color w:val="2F2F2F"/>
          <w:sz w:val="18"/>
          <w:szCs w:val="18"/>
          <w:lang w:eastAsia="es-MX"/>
        </w:rPr>
        <w:lastRenderedPageBreak/>
        <w:t xml:space="preserve">dispuesto en el artículo 16, apartado A, fracción IV, tercer párrafo de la LIF, podrán efectuar el </w:t>
      </w:r>
      <w:proofErr w:type="spellStart"/>
      <w:r w:rsidRPr="00FB5309">
        <w:rPr>
          <w:rFonts w:ascii="Arial" w:eastAsia="Times New Roman" w:hAnsi="Arial" w:cs="Arial"/>
          <w:color w:val="2F2F2F"/>
          <w:sz w:val="18"/>
          <w:szCs w:val="18"/>
          <w:lang w:eastAsia="es-MX"/>
        </w:rPr>
        <w:t>acreditamiento</w:t>
      </w:r>
      <w:proofErr w:type="spellEnd"/>
      <w:r w:rsidRPr="00FB5309">
        <w:rPr>
          <w:rFonts w:ascii="Arial" w:eastAsia="Times New Roman" w:hAnsi="Arial" w:cs="Arial"/>
          <w:color w:val="2F2F2F"/>
          <w:sz w:val="18"/>
          <w:szCs w:val="18"/>
          <w:lang w:eastAsia="es-MX"/>
        </w:rPr>
        <w:t xml:space="preserve"> del estímulo fiscal a que se refiere dicha disposición, contra el ISR propio causado en el mismo ejercicio en que se importe o adquiera el combustible; contra los pagos provisionales a que se refiere la regla 4.2., fracción IV; contra el ISR anual a que se refiere la fracción III de la propia regla 4.2., o contra las retenciones del ISR efectuadas a terceros en el mismo ejercicio.</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mencionados en el párrafo anterior también podrán optar por aplicar el </w:t>
      </w:r>
      <w:proofErr w:type="spellStart"/>
      <w:r w:rsidRPr="00FB5309">
        <w:rPr>
          <w:rFonts w:ascii="Arial" w:eastAsia="Times New Roman" w:hAnsi="Arial" w:cs="Arial"/>
          <w:color w:val="2F2F2F"/>
          <w:sz w:val="18"/>
          <w:szCs w:val="18"/>
          <w:lang w:eastAsia="es-MX"/>
        </w:rPr>
        <w:t>acreditamiento</w:t>
      </w:r>
      <w:proofErr w:type="spellEnd"/>
      <w:r w:rsidRPr="00FB5309">
        <w:rPr>
          <w:rFonts w:ascii="Arial" w:eastAsia="Times New Roman" w:hAnsi="Arial" w:cs="Arial"/>
          <w:color w:val="2F2F2F"/>
          <w:sz w:val="18"/>
          <w:szCs w:val="18"/>
          <w:lang w:eastAsia="es-MX"/>
        </w:rPr>
        <w:t xml:space="preserve"> del estímulo mencionado contra los pagos provisionales del ISR del ejercicio a que se refiere el párrafo anterior, calculados conforme a lo dispuesto por la Ley de la materia, siempre que los pagos provisionales que acrediten en la declaración del ejercicio no consideren los montos del estímulo fiscal mencionado que hayan acreditado en dichos pagos provisionales.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El </w:t>
      </w:r>
      <w:proofErr w:type="spellStart"/>
      <w:r w:rsidRPr="00FB5309">
        <w:rPr>
          <w:rFonts w:ascii="Arial" w:eastAsia="Times New Roman" w:hAnsi="Arial" w:cs="Arial"/>
          <w:color w:val="2F2F2F"/>
          <w:sz w:val="18"/>
          <w:szCs w:val="18"/>
          <w:lang w:eastAsia="es-MX"/>
        </w:rPr>
        <w:t>acreditamiento</w:t>
      </w:r>
      <w:proofErr w:type="spellEnd"/>
      <w:r w:rsidRPr="00FB5309">
        <w:rPr>
          <w:rFonts w:ascii="Arial" w:eastAsia="Times New Roman" w:hAnsi="Arial" w:cs="Arial"/>
          <w:color w:val="2F2F2F"/>
          <w:sz w:val="18"/>
          <w:szCs w:val="18"/>
          <w:lang w:eastAsia="es-MX"/>
        </w:rPr>
        <w:t xml:space="preserve"> del estímulo mencionado se podrá aplicar contra los pagos provisionales a cuenta del ISR anual a que se refiere la fracción III de la regla 4.2. </w:t>
      </w:r>
      <w:proofErr w:type="gramStart"/>
      <w:r w:rsidRPr="00FB5309">
        <w:rPr>
          <w:rFonts w:ascii="Arial" w:eastAsia="Times New Roman" w:hAnsi="Arial" w:cs="Arial"/>
          <w:color w:val="2F2F2F"/>
          <w:sz w:val="18"/>
          <w:szCs w:val="18"/>
          <w:lang w:eastAsia="es-MX"/>
        </w:rPr>
        <w:t>de</w:t>
      </w:r>
      <w:proofErr w:type="gramEnd"/>
      <w:r w:rsidRPr="00FB5309">
        <w:rPr>
          <w:rFonts w:ascii="Arial" w:eastAsia="Times New Roman" w:hAnsi="Arial" w:cs="Arial"/>
          <w:color w:val="2F2F2F"/>
          <w:sz w:val="18"/>
          <w:szCs w:val="18"/>
          <w:lang w:eastAsia="es-MX"/>
        </w:rPr>
        <w:t xml:space="preserve"> esta Resolución, calculados conforme a lo dispuesto en la fracción IV de la misma disposición, siempre que los pagos provisionales que se acrediten en la declaración del citado ISR anual no consideren los montos de los estímulos fiscales mencionados que hayan acreditado contra dichos pagos provisionales.</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Los contribuyentes considerarán como ingresos acumulables para los efectos del ISR los estímulos a que hace referencia la presente regla en el momento en que efectivamente los acrediten.</w:t>
      </w:r>
    </w:p>
    <w:p w:rsidR="00FB5309" w:rsidRPr="00FB5309" w:rsidRDefault="00FB5309" w:rsidP="00FB5309">
      <w:pPr>
        <w:shd w:val="clear" w:color="auto" w:fill="FFFFFF"/>
        <w:spacing w:after="101" w:line="240" w:lineRule="auto"/>
        <w:jc w:val="center"/>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Aviso de aplicación del estímulo fiscal</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2F2F2F"/>
          <w:sz w:val="18"/>
          <w:szCs w:val="18"/>
          <w:lang w:eastAsia="es-MX"/>
        </w:rPr>
        <w:t>4.9.</w:t>
      </w:r>
      <w:r w:rsidRPr="00FB5309">
        <w:rPr>
          <w:rFonts w:ascii="Arial" w:eastAsia="Times New Roman" w:hAnsi="Arial" w:cs="Arial"/>
          <w:color w:val="2F2F2F"/>
          <w:sz w:val="20"/>
          <w:szCs w:val="20"/>
          <w:lang w:eastAsia="es-MX"/>
        </w:rPr>
        <w:t>    </w:t>
      </w:r>
      <w:r w:rsidRPr="00FB5309">
        <w:rPr>
          <w:rFonts w:ascii="Arial" w:eastAsia="Times New Roman" w:hAnsi="Arial" w:cs="Arial"/>
          <w:color w:val="2F2F2F"/>
          <w:sz w:val="18"/>
          <w:szCs w:val="18"/>
          <w:lang w:eastAsia="es-MX"/>
        </w:rPr>
        <w:t xml:space="preserve">Para los efectos del artículo 25 del CFF y la regla 4.8. de esta Resolución, los contribuyentes que apliquen el estímulo a que se refiere el artículo 16, apartado A, fracción IV de la LIF, únicamente deberán presentar el aviso a que se refiere el citado artículo 25, cuando apliquen por primera vez dicho estímulo en la declaración de pago provisional, definitiva o en la declaración anual, según se trate, dentro de los quince días siguientes a la presentación de la declaración en la que se aplique el estímulo de conformidad con la ficha de trámite 3/LIF "Aviso que presentan los contribuyentes manifestando la aplicación de un estímulo fiscal que se otorga a los que adquieran o importen diésel o </w:t>
      </w:r>
      <w:proofErr w:type="spellStart"/>
      <w:r w:rsidRPr="00FB5309">
        <w:rPr>
          <w:rFonts w:ascii="Arial" w:eastAsia="Times New Roman" w:hAnsi="Arial" w:cs="Arial"/>
          <w:color w:val="2F2F2F"/>
          <w:sz w:val="18"/>
          <w:szCs w:val="18"/>
          <w:lang w:eastAsia="es-MX"/>
        </w:rPr>
        <w:t>biodiésel</w:t>
      </w:r>
      <w:proofErr w:type="spellEnd"/>
      <w:r w:rsidRPr="00FB5309">
        <w:rPr>
          <w:rFonts w:ascii="Arial" w:eastAsia="Times New Roman" w:hAnsi="Arial" w:cs="Arial"/>
          <w:color w:val="2F2F2F"/>
          <w:sz w:val="18"/>
          <w:szCs w:val="18"/>
          <w:lang w:eastAsia="es-MX"/>
        </w:rPr>
        <w:t xml:space="preserve"> y sus mezclas para su consumo final y que sea para uso automotriz en vehículos que se destinen exclusivamente al transporte público y privado de personas o de carga", contenida en el Anexo 1-A de la RMF.</w:t>
      </w:r>
    </w:p>
    <w:p w:rsidR="00FB5309" w:rsidRPr="00FB5309" w:rsidRDefault="00FB5309" w:rsidP="00FB53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5309">
        <w:rPr>
          <w:rFonts w:ascii="Times" w:eastAsia="Times New Roman" w:hAnsi="Times" w:cs="Times"/>
          <w:b/>
          <w:bCs/>
          <w:color w:val="2F2F2F"/>
          <w:sz w:val="18"/>
          <w:szCs w:val="18"/>
          <w:lang w:eastAsia="es-MX"/>
        </w:rPr>
        <w:t>TRANSITORIOS</w:t>
      </w:r>
    </w:p>
    <w:p w:rsidR="00FB5309" w:rsidRPr="00FB5309" w:rsidRDefault="00FB5309" w:rsidP="00FB5309">
      <w:pPr>
        <w:shd w:val="clear" w:color="auto" w:fill="FFFFFF"/>
        <w:spacing w:after="101" w:line="240" w:lineRule="auto"/>
        <w:ind w:firstLine="288"/>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Primero.</w:t>
      </w:r>
      <w:r w:rsidRPr="00FB5309">
        <w:rPr>
          <w:rFonts w:ascii="Arial" w:eastAsia="Times New Roman" w:hAnsi="Arial" w:cs="Arial"/>
          <w:color w:val="000000"/>
          <w:sz w:val="18"/>
          <w:szCs w:val="18"/>
          <w:lang w:eastAsia="es-MX"/>
        </w:rPr>
        <w:t> La presente Resolución entrará en vigor el día siguiente al de su publicación en el Diario Oficial de la Federación y estará vigente hasta el 31 de diciembre de 2023. No obstante</w:t>
      </w:r>
      <w:r w:rsidRPr="00FB5309">
        <w:rPr>
          <w:rFonts w:ascii="Arial" w:eastAsia="Times New Roman" w:hAnsi="Arial" w:cs="Arial"/>
          <w:color w:val="2F2F2F"/>
          <w:sz w:val="18"/>
          <w:szCs w:val="18"/>
          <w:lang w:eastAsia="es-MX"/>
        </w:rPr>
        <w:t> lo anterior</w:t>
      </w:r>
      <w:r w:rsidRPr="00FB5309">
        <w:rPr>
          <w:rFonts w:ascii="Arial" w:eastAsia="Times New Roman" w:hAnsi="Arial" w:cs="Arial"/>
          <w:color w:val="000000"/>
          <w:sz w:val="18"/>
          <w:szCs w:val="18"/>
          <w:lang w:eastAsia="es-MX"/>
        </w:rPr>
        <w:t>, las facilidades contenidas en la presente Resolución serán aplicables </w:t>
      </w:r>
      <w:r w:rsidRPr="00FB5309">
        <w:rPr>
          <w:rFonts w:ascii="Arial" w:eastAsia="Times New Roman" w:hAnsi="Arial" w:cs="Arial"/>
          <w:color w:val="2F2F2F"/>
          <w:sz w:val="18"/>
          <w:szCs w:val="18"/>
          <w:lang w:eastAsia="es-MX"/>
        </w:rPr>
        <w:t>para todo el ejercicio fiscal</w:t>
      </w:r>
      <w:r w:rsidRPr="00FB5309">
        <w:rPr>
          <w:rFonts w:ascii="Arial" w:eastAsia="Times New Roman" w:hAnsi="Arial" w:cs="Arial"/>
          <w:color w:val="000000"/>
          <w:sz w:val="18"/>
          <w:szCs w:val="18"/>
          <w:lang w:eastAsia="es-MX"/>
        </w:rPr>
        <w:t> de </w:t>
      </w:r>
      <w:r w:rsidRPr="00FB5309">
        <w:rPr>
          <w:rFonts w:ascii="Arial" w:eastAsia="Times New Roman" w:hAnsi="Arial" w:cs="Arial"/>
          <w:color w:val="2F2F2F"/>
          <w:sz w:val="18"/>
          <w:szCs w:val="18"/>
          <w:lang w:eastAsia="es-MX"/>
        </w:rPr>
        <w:t>2023</w:t>
      </w:r>
      <w:r w:rsidRPr="00FB5309">
        <w:rPr>
          <w:rFonts w:ascii="Arial" w:eastAsia="Times New Roman" w:hAnsi="Arial" w:cs="Arial"/>
          <w:color w:val="000000"/>
          <w:sz w:val="18"/>
          <w:szCs w:val="18"/>
          <w:lang w:eastAsia="es-MX"/>
        </w:rPr>
        <w:t>.</w:t>
      </w:r>
    </w:p>
    <w:p w:rsidR="00FB5309" w:rsidRPr="00FB5309" w:rsidRDefault="00FB5309" w:rsidP="00FB5309">
      <w:pPr>
        <w:shd w:val="clear" w:color="auto" w:fill="FFFFFF"/>
        <w:spacing w:after="101" w:line="240" w:lineRule="auto"/>
        <w:ind w:firstLine="288"/>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Segundo.</w:t>
      </w:r>
      <w:r w:rsidRPr="00FB5309">
        <w:rPr>
          <w:rFonts w:ascii="Arial" w:eastAsia="Times New Roman" w:hAnsi="Arial" w:cs="Arial"/>
          <w:color w:val="000000"/>
          <w:sz w:val="18"/>
          <w:szCs w:val="18"/>
          <w:lang w:eastAsia="es-MX"/>
        </w:rPr>
        <w:t xml:space="preserve"> Para los efectos de las reglas 1.10., 2.10., 3.13. </w:t>
      </w:r>
      <w:proofErr w:type="gramStart"/>
      <w:r w:rsidRPr="00FB5309">
        <w:rPr>
          <w:rFonts w:ascii="Arial" w:eastAsia="Times New Roman" w:hAnsi="Arial" w:cs="Arial"/>
          <w:color w:val="000000"/>
          <w:sz w:val="18"/>
          <w:szCs w:val="18"/>
          <w:lang w:eastAsia="es-MX"/>
        </w:rPr>
        <w:t>y</w:t>
      </w:r>
      <w:proofErr w:type="gramEnd"/>
      <w:r w:rsidRPr="00FB5309">
        <w:rPr>
          <w:rFonts w:ascii="Arial" w:eastAsia="Times New Roman" w:hAnsi="Arial" w:cs="Arial"/>
          <w:color w:val="000000"/>
          <w:sz w:val="18"/>
          <w:szCs w:val="18"/>
          <w:lang w:eastAsia="es-MX"/>
        </w:rPr>
        <w:t xml:space="preserve"> 4.6., de la presente Resolución, los contribuyentes deberán emitir las liquidaciones a sus integrantes o a los permisionarios de que se trate, a través de un CFDI de retenciones e información de pagos, a partir de los treinta días siguientes a aquel en que se publique el "Complemento de Liquidación" en el Portal de Internet del SAT.</w:t>
      </w:r>
    </w:p>
    <w:p w:rsidR="00FB5309" w:rsidRPr="00FB5309" w:rsidRDefault="00FB5309" w:rsidP="00FB5309">
      <w:pPr>
        <w:shd w:val="clear" w:color="auto" w:fill="FFFFFF"/>
        <w:spacing w:after="101" w:line="240" w:lineRule="auto"/>
        <w:ind w:firstLine="288"/>
        <w:jc w:val="both"/>
        <w:rPr>
          <w:rFonts w:ascii="Arial" w:eastAsia="Times New Roman" w:hAnsi="Arial" w:cs="Arial"/>
          <w:color w:val="2F2F2F"/>
          <w:sz w:val="18"/>
          <w:szCs w:val="18"/>
          <w:lang w:eastAsia="es-MX"/>
        </w:rPr>
      </w:pPr>
      <w:r w:rsidRPr="00FB5309">
        <w:rPr>
          <w:rFonts w:ascii="Arial" w:eastAsia="Times New Roman" w:hAnsi="Arial" w:cs="Arial"/>
          <w:color w:val="000000"/>
          <w:sz w:val="18"/>
          <w:szCs w:val="18"/>
          <w:lang w:eastAsia="es-MX"/>
        </w:rPr>
        <w:t xml:space="preserve">Para efectos del párrafo anterior, en tanto no sea publicado el aludido complemento en el Portal del SAT, los contribuyentes que estén obligados a emitir las liquidaciones a sus integrantes conforme a las reglas 1.10., 2.10., 3.13. </w:t>
      </w:r>
      <w:proofErr w:type="gramStart"/>
      <w:r w:rsidRPr="00FB5309">
        <w:rPr>
          <w:rFonts w:ascii="Arial" w:eastAsia="Times New Roman" w:hAnsi="Arial" w:cs="Arial"/>
          <w:color w:val="000000"/>
          <w:sz w:val="18"/>
          <w:szCs w:val="18"/>
          <w:lang w:eastAsia="es-MX"/>
        </w:rPr>
        <w:t>y</w:t>
      </w:r>
      <w:proofErr w:type="gramEnd"/>
      <w:r w:rsidRPr="00FB5309">
        <w:rPr>
          <w:rFonts w:ascii="Arial" w:eastAsia="Times New Roman" w:hAnsi="Arial" w:cs="Arial"/>
          <w:color w:val="000000"/>
          <w:sz w:val="18"/>
          <w:szCs w:val="18"/>
          <w:lang w:eastAsia="es-MX"/>
        </w:rPr>
        <w:t xml:space="preserve"> 4.6. </w:t>
      </w:r>
      <w:proofErr w:type="gramStart"/>
      <w:r w:rsidRPr="00FB5309">
        <w:rPr>
          <w:rFonts w:ascii="Arial" w:eastAsia="Times New Roman" w:hAnsi="Arial" w:cs="Arial"/>
          <w:color w:val="000000"/>
          <w:sz w:val="18"/>
          <w:szCs w:val="18"/>
          <w:lang w:eastAsia="es-MX"/>
        </w:rPr>
        <w:t>de</w:t>
      </w:r>
      <w:proofErr w:type="gramEnd"/>
      <w:r w:rsidRPr="00FB5309">
        <w:rPr>
          <w:rFonts w:ascii="Arial" w:eastAsia="Times New Roman" w:hAnsi="Arial" w:cs="Arial"/>
          <w:color w:val="000000"/>
          <w:sz w:val="18"/>
          <w:szCs w:val="18"/>
          <w:lang w:eastAsia="es-MX"/>
        </w:rPr>
        <w:t xml:space="preserve"> la presente Resolución, deberán emitirlas en los términos establecidos en la Resolución de Facilidades Administrativas para los Sectores de Contribuyentes que en la misma se señalan para 2015, publicada en el Diario Oficial de la Federación el 30 de diciembre de 2014.</w:t>
      </w:r>
    </w:p>
    <w:p w:rsidR="00FB5309" w:rsidRPr="00FB5309" w:rsidRDefault="00FB5309" w:rsidP="00FB5309">
      <w:pPr>
        <w:shd w:val="clear" w:color="auto" w:fill="FFFFFF"/>
        <w:spacing w:after="101" w:line="240" w:lineRule="auto"/>
        <w:ind w:firstLine="288"/>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Tercero.</w:t>
      </w:r>
      <w:r w:rsidRPr="00FB5309">
        <w:rPr>
          <w:rFonts w:ascii="Arial" w:eastAsia="Times New Roman" w:hAnsi="Arial" w:cs="Arial"/>
          <w:color w:val="000000"/>
          <w:sz w:val="18"/>
          <w:szCs w:val="18"/>
          <w:lang w:eastAsia="es-MX"/>
        </w:rPr>
        <w:t> Para los efectos de la regla 1.16., las sociedades cooperativas de producción dedicadas exclusivamente a actividades pesqueras o silvícolas que cuenten con concesión o permiso del Gobierno Federal para explotar los recursos marinos o silvícolas, podrán optar por aplicar la facilidad establecida en la citada regla por el ejercicio fiscal 2022, siempre que dichas sociedades cumplan con lo siguiente:</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Que a más tardar el 31 de marzo del 2023 presenten la declaración anual del ejercicio 2022.</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II.</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Que a más tardar al 20 de marzo del 2023 se hayan emitido los CFDI con complemento de nómina y enterado las retenciones de ISR que hubieran resultado por la aplicación de esta facilidad respecto a la totalidad de los rendimientos y anticipos que hayan pagado a sus socios durante 2022.</w:t>
      </w:r>
    </w:p>
    <w:p w:rsidR="00FB5309" w:rsidRPr="00FB5309" w:rsidRDefault="00FB5309" w:rsidP="00FB5309">
      <w:pPr>
        <w:shd w:val="clear" w:color="auto" w:fill="FFFFFF"/>
        <w:spacing w:after="101" w:line="240" w:lineRule="auto"/>
        <w:ind w:hanging="576"/>
        <w:jc w:val="both"/>
        <w:rPr>
          <w:rFonts w:ascii="Arial" w:eastAsia="Times New Roman" w:hAnsi="Arial" w:cs="Arial"/>
          <w:color w:val="2F2F2F"/>
          <w:sz w:val="18"/>
          <w:szCs w:val="18"/>
          <w:lang w:eastAsia="es-MX"/>
        </w:rPr>
      </w:pPr>
      <w:r w:rsidRPr="00FB5309">
        <w:rPr>
          <w:rFonts w:ascii="Arial" w:eastAsia="Times New Roman" w:hAnsi="Arial" w:cs="Arial"/>
          <w:b/>
          <w:bCs/>
          <w:color w:val="000000"/>
          <w:sz w:val="18"/>
          <w:szCs w:val="18"/>
          <w:lang w:eastAsia="es-MX"/>
        </w:rPr>
        <w:t>III.</w:t>
      </w:r>
      <w:r w:rsidRPr="00FB5309">
        <w:rPr>
          <w:rFonts w:ascii="Arial" w:eastAsia="Times New Roman" w:hAnsi="Arial" w:cs="Arial"/>
          <w:color w:val="2F2F2F"/>
          <w:sz w:val="20"/>
          <w:szCs w:val="20"/>
          <w:lang w:eastAsia="es-MX"/>
        </w:rPr>
        <w:t>      </w:t>
      </w:r>
      <w:r w:rsidRPr="00FB5309">
        <w:rPr>
          <w:rFonts w:ascii="Arial" w:eastAsia="Times New Roman" w:hAnsi="Arial" w:cs="Arial"/>
          <w:color w:val="000000"/>
          <w:sz w:val="18"/>
          <w:szCs w:val="18"/>
          <w:lang w:eastAsia="es-MX"/>
        </w:rPr>
        <w:t xml:space="preserve">Que a más tardar el 31 de marzo del 2023 lleven a cabo la actualización de sus socios en el Portal del SAT a través de la siguiente ruta: www.sat.gob.mx/Empresas/Trámites del RFC/Actualización en el RFC/Actualiza la información de socios o accionistas/INICIAR y </w:t>
      </w:r>
      <w:proofErr w:type="spellStart"/>
      <w:r w:rsidRPr="00FB5309">
        <w:rPr>
          <w:rFonts w:ascii="Arial" w:eastAsia="Times New Roman" w:hAnsi="Arial" w:cs="Arial"/>
          <w:color w:val="000000"/>
          <w:sz w:val="18"/>
          <w:szCs w:val="18"/>
          <w:lang w:eastAsia="es-MX"/>
        </w:rPr>
        <w:t>requisitar</w:t>
      </w:r>
      <w:proofErr w:type="spellEnd"/>
      <w:r w:rsidRPr="00FB5309">
        <w:rPr>
          <w:rFonts w:ascii="Arial" w:eastAsia="Times New Roman" w:hAnsi="Arial" w:cs="Arial"/>
          <w:color w:val="000000"/>
          <w:sz w:val="18"/>
          <w:szCs w:val="18"/>
          <w:lang w:eastAsia="es-MX"/>
        </w:rPr>
        <w:t xml:space="preserve"> el formulario conforme a la ficha de trámite 295/CFF "Solicitud de modificación o incorporación de socios, accionistas, asociados y demás personas que forman parte de la estructura orgánica de una persona moral, así como de aquéllas que tengan control, influencia significativa o poder de mando", contenida en el Anexo 1-A de la RMF.</w:t>
      </w:r>
    </w:p>
    <w:p w:rsidR="00FB5309" w:rsidRPr="00FB5309" w:rsidRDefault="00FB5309" w:rsidP="00FB5309">
      <w:pPr>
        <w:shd w:val="clear" w:color="auto" w:fill="FFFFFF"/>
        <w:spacing w:after="101" w:line="240" w:lineRule="auto"/>
        <w:ind w:firstLine="288"/>
        <w:jc w:val="both"/>
        <w:rPr>
          <w:rFonts w:ascii="Arial" w:eastAsia="Times New Roman" w:hAnsi="Arial" w:cs="Arial"/>
          <w:color w:val="2F2F2F"/>
          <w:sz w:val="18"/>
          <w:szCs w:val="18"/>
          <w:lang w:eastAsia="es-MX"/>
        </w:rPr>
      </w:pPr>
      <w:r w:rsidRPr="00FB5309">
        <w:rPr>
          <w:rFonts w:ascii="Arial" w:eastAsia="Times New Roman" w:hAnsi="Arial" w:cs="Arial"/>
          <w:color w:val="000000"/>
          <w:sz w:val="18"/>
          <w:szCs w:val="18"/>
          <w:lang w:eastAsia="es-MX"/>
        </w:rPr>
        <w:lastRenderedPageBreak/>
        <w:t>Atentamente.</w:t>
      </w:r>
    </w:p>
    <w:p w:rsidR="00FB5309" w:rsidRPr="00FB5309" w:rsidRDefault="00FB5309" w:rsidP="00FB5309">
      <w:pPr>
        <w:shd w:val="clear" w:color="auto" w:fill="FFFFFF"/>
        <w:spacing w:after="101" w:line="240" w:lineRule="auto"/>
        <w:ind w:firstLine="288"/>
        <w:jc w:val="both"/>
        <w:rPr>
          <w:rFonts w:ascii="Arial" w:eastAsia="Times New Roman" w:hAnsi="Arial" w:cs="Arial"/>
          <w:color w:val="2F2F2F"/>
          <w:sz w:val="18"/>
          <w:szCs w:val="18"/>
          <w:lang w:eastAsia="es-MX"/>
        </w:rPr>
      </w:pPr>
      <w:r w:rsidRPr="00FB5309">
        <w:rPr>
          <w:rFonts w:ascii="Arial" w:eastAsia="Times New Roman" w:hAnsi="Arial" w:cs="Arial"/>
          <w:color w:val="000000"/>
          <w:sz w:val="18"/>
          <w:szCs w:val="18"/>
          <w:lang w:eastAsia="es-MX"/>
        </w:rPr>
        <w:t>Ciudad de México, a 28 de febrero de 2023.- </w:t>
      </w:r>
      <w:r w:rsidRPr="00FB5309">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FB5309">
        <w:rPr>
          <w:rFonts w:ascii="Arial" w:eastAsia="Times New Roman" w:hAnsi="Arial" w:cs="Arial"/>
          <w:color w:val="000000"/>
          <w:sz w:val="18"/>
          <w:szCs w:val="18"/>
          <w:lang w:eastAsia="es-MX"/>
        </w:rPr>
        <w:t>Lic. </w:t>
      </w:r>
      <w:r w:rsidRPr="00FB5309">
        <w:rPr>
          <w:rFonts w:ascii="Arial" w:eastAsia="Times New Roman" w:hAnsi="Arial" w:cs="Arial"/>
          <w:b/>
          <w:bCs/>
          <w:color w:val="000000"/>
          <w:sz w:val="18"/>
          <w:szCs w:val="18"/>
          <w:lang w:eastAsia="es-MX"/>
        </w:rPr>
        <w:t>Ricardo Carrasco Varona</w:t>
      </w:r>
      <w:r w:rsidRPr="00FB5309">
        <w:rPr>
          <w:rFonts w:ascii="Arial" w:eastAsia="Times New Roman" w:hAnsi="Arial" w:cs="Arial"/>
          <w:color w:val="000000"/>
          <w:sz w:val="18"/>
          <w:szCs w:val="18"/>
          <w:lang w:eastAsia="es-MX"/>
        </w:rPr>
        <w:t>.- Rúbrica.</w:t>
      </w:r>
    </w:p>
    <w:p w:rsidR="00FB5309" w:rsidRDefault="00FB5309" w:rsidP="00FB5309">
      <w:pPr>
        <w:jc w:val="both"/>
      </w:pPr>
    </w:p>
    <w:sectPr w:rsidR="00FB53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09"/>
    <w:rsid w:val="00C518FC"/>
    <w:rsid w:val="00FB53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90934">
      <w:bodyDiv w:val="1"/>
      <w:marLeft w:val="0"/>
      <w:marRight w:val="0"/>
      <w:marTop w:val="0"/>
      <w:marBottom w:val="0"/>
      <w:divBdr>
        <w:top w:val="none" w:sz="0" w:space="0" w:color="auto"/>
        <w:left w:val="none" w:sz="0" w:space="0" w:color="auto"/>
        <w:bottom w:val="none" w:sz="0" w:space="0" w:color="auto"/>
        <w:right w:val="none" w:sz="0" w:space="0" w:color="auto"/>
      </w:divBdr>
      <w:divsChild>
        <w:div w:id="807551968">
          <w:marLeft w:val="0"/>
          <w:marRight w:val="0"/>
          <w:marTop w:val="101"/>
          <w:marBottom w:val="101"/>
          <w:divBdr>
            <w:top w:val="none" w:sz="0" w:space="0" w:color="auto"/>
            <w:left w:val="none" w:sz="0" w:space="0" w:color="auto"/>
            <w:bottom w:val="none" w:sz="0" w:space="0" w:color="auto"/>
            <w:right w:val="none" w:sz="0" w:space="0" w:color="auto"/>
          </w:divBdr>
        </w:div>
        <w:div w:id="192696647">
          <w:marLeft w:val="0"/>
          <w:marRight w:val="0"/>
          <w:marTop w:val="0"/>
          <w:marBottom w:val="101"/>
          <w:divBdr>
            <w:top w:val="none" w:sz="0" w:space="0" w:color="auto"/>
            <w:left w:val="none" w:sz="0" w:space="0" w:color="auto"/>
            <w:bottom w:val="none" w:sz="0" w:space="0" w:color="auto"/>
            <w:right w:val="none" w:sz="0" w:space="0" w:color="auto"/>
          </w:divBdr>
        </w:div>
        <w:div w:id="958685802">
          <w:marLeft w:val="0"/>
          <w:marRight w:val="0"/>
          <w:marTop w:val="101"/>
          <w:marBottom w:val="101"/>
          <w:divBdr>
            <w:top w:val="none" w:sz="0" w:space="0" w:color="auto"/>
            <w:left w:val="none" w:sz="0" w:space="0" w:color="auto"/>
            <w:bottom w:val="none" w:sz="0" w:space="0" w:color="auto"/>
            <w:right w:val="none" w:sz="0" w:space="0" w:color="auto"/>
          </w:divBdr>
        </w:div>
        <w:div w:id="419329268">
          <w:marLeft w:val="0"/>
          <w:marRight w:val="0"/>
          <w:marTop w:val="0"/>
          <w:marBottom w:val="101"/>
          <w:divBdr>
            <w:top w:val="none" w:sz="0" w:space="0" w:color="auto"/>
            <w:left w:val="none" w:sz="0" w:space="0" w:color="auto"/>
            <w:bottom w:val="none" w:sz="0" w:space="0" w:color="auto"/>
            <w:right w:val="none" w:sz="0" w:space="0" w:color="auto"/>
          </w:divBdr>
        </w:div>
        <w:div w:id="1902867994">
          <w:marLeft w:val="0"/>
          <w:marRight w:val="0"/>
          <w:marTop w:val="0"/>
          <w:marBottom w:val="101"/>
          <w:divBdr>
            <w:top w:val="none" w:sz="0" w:space="0" w:color="auto"/>
            <w:left w:val="none" w:sz="0" w:space="0" w:color="auto"/>
            <w:bottom w:val="none" w:sz="0" w:space="0" w:color="auto"/>
            <w:right w:val="none" w:sz="0" w:space="0" w:color="auto"/>
          </w:divBdr>
        </w:div>
        <w:div w:id="1911690902">
          <w:marLeft w:val="0"/>
          <w:marRight w:val="0"/>
          <w:marTop w:val="0"/>
          <w:marBottom w:val="101"/>
          <w:divBdr>
            <w:top w:val="none" w:sz="0" w:space="0" w:color="auto"/>
            <w:left w:val="none" w:sz="0" w:space="0" w:color="auto"/>
            <w:bottom w:val="none" w:sz="0" w:space="0" w:color="auto"/>
            <w:right w:val="none" w:sz="0" w:space="0" w:color="auto"/>
          </w:divBdr>
        </w:div>
        <w:div w:id="1970087605">
          <w:marLeft w:val="0"/>
          <w:marRight w:val="0"/>
          <w:marTop w:val="0"/>
          <w:marBottom w:val="101"/>
          <w:divBdr>
            <w:top w:val="none" w:sz="0" w:space="0" w:color="auto"/>
            <w:left w:val="none" w:sz="0" w:space="0" w:color="auto"/>
            <w:bottom w:val="none" w:sz="0" w:space="0" w:color="auto"/>
            <w:right w:val="none" w:sz="0" w:space="0" w:color="auto"/>
          </w:divBdr>
        </w:div>
        <w:div w:id="83112345">
          <w:marLeft w:val="0"/>
          <w:marRight w:val="0"/>
          <w:marTop w:val="101"/>
          <w:marBottom w:val="101"/>
          <w:divBdr>
            <w:top w:val="none" w:sz="0" w:space="0" w:color="auto"/>
            <w:left w:val="none" w:sz="0" w:space="0" w:color="auto"/>
            <w:bottom w:val="none" w:sz="0" w:space="0" w:color="auto"/>
            <w:right w:val="none" w:sz="0" w:space="0" w:color="auto"/>
          </w:divBdr>
        </w:div>
        <w:div w:id="1204096539">
          <w:marLeft w:val="0"/>
          <w:marRight w:val="0"/>
          <w:marTop w:val="101"/>
          <w:marBottom w:val="101"/>
          <w:divBdr>
            <w:top w:val="none" w:sz="0" w:space="0" w:color="auto"/>
            <w:left w:val="none" w:sz="0" w:space="0" w:color="auto"/>
            <w:bottom w:val="none" w:sz="0" w:space="0" w:color="auto"/>
            <w:right w:val="none" w:sz="0" w:space="0" w:color="auto"/>
          </w:divBdr>
        </w:div>
        <w:div w:id="614681802">
          <w:marLeft w:val="1350"/>
          <w:marRight w:val="0"/>
          <w:marTop w:val="0"/>
          <w:marBottom w:val="101"/>
          <w:divBdr>
            <w:top w:val="none" w:sz="0" w:space="0" w:color="auto"/>
            <w:left w:val="none" w:sz="0" w:space="0" w:color="auto"/>
            <w:bottom w:val="none" w:sz="0" w:space="0" w:color="auto"/>
            <w:right w:val="none" w:sz="0" w:space="0" w:color="auto"/>
          </w:divBdr>
        </w:div>
        <w:div w:id="1976063695">
          <w:marLeft w:val="1350"/>
          <w:marRight w:val="0"/>
          <w:marTop w:val="0"/>
          <w:marBottom w:val="101"/>
          <w:divBdr>
            <w:top w:val="none" w:sz="0" w:space="0" w:color="auto"/>
            <w:left w:val="none" w:sz="0" w:space="0" w:color="auto"/>
            <w:bottom w:val="none" w:sz="0" w:space="0" w:color="auto"/>
            <w:right w:val="none" w:sz="0" w:space="0" w:color="auto"/>
          </w:divBdr>
        </w:div>
        <w:div w:id="1747805304">
          <w:marLeft w:val="1350"/>
          <w:marRight w:val="0"/>
          <w:marTop w:val="0"/>
          <w:marBottom w:val="101"/>
          <w:divBdr>
            <w:top w:val="none" w:sz="0" w:space="0" w:color="auto"/>
            <w:left w:val="none" w:sz="0" w:space="0" w:color="auto"/>
            <w:bottom w:val="none" w:sz="0" w:space="0" w:color="auto"/>
            <w:right w:val="none" w:sz="0" w:space="0" w:color="auto"/>
          </w:divBdr>
        </w:div>
        <w:div w:id="1686977855">
          <w:marLeft w:val="1350"/>
          <w:marRight w:val="0"/>
          <w:marTop w:val="0"/>
          <w:marBottom w:val="101"/>
          <w:divBdr>
            <w:top w:val="none" w:sz="0" w:space="0" w:color="auto"/>
            <w:left w:val="none" w:sz="0" w:space="0" w:color="auto"/>
            <w:bottom w:val="none" w:sz="0" w:space="0" w:color="auto"/>
            <w:right w:val="none" w:sz="0" w:space="0" w:color="auto"/>
          </w:divBdr>
        </w:div>
        <w:div w:id="818766290">
          <w:marLeft w:val="0"/>
          <w:marRight w:val="0"/>
          <w:marTop w:val="101"/>
          <w:marBottom w:val="101"/>
          <w:divBdr>
            <w:top w:val="none" w:sz="0" w:space="0" w:color="auto"/>
            <w:left w:val="none" w:sz="0" w:space="0" w:color="auto"/>
            <w:bottom w:val="none" w:sz="0" w:space="0" w:color="auto"/>
            <w:right w:val="none" w:sz="0" w:space="0" w:color="auto"/>
          </w:divBdr>
        </w:div>
        <w:div w:id="1720351347">
          <w:marLeft w:val="0"/>
          <w:marRight w:val="0"/>
          <w:marTop w:val="0"/>
          <w:marBottom w:val="101"/>
          <w:divBdr>
            <w:top w:val="none" w:sz="0" w:space="0" w:color="auto"/>
            <w:left w:val="none" w:sz="0" w:space="0" w:color="auto"/>
            <w:bottom w:val="none" w:sz="0" w:space="0" w:color="auto"/>
            <w:right w:val="none" w:sz="0" w:space="0" w:color="auto"/>
          </w:divBdr>
        </w:div>
        <w:div w:id="971180940">
          <w:marLeft w:val="864"/>
          <w:marRight w:val="0"/>
          <w:marTop w:val="0"/>
          <w:marBottom w:val="101"/>
          <w:divBdr>
            <w:top w:val="none" w:sz="0" w:space="0" w:color="auto"/>
            <w:left w:val="none" w:sz="0" w:space="0" w:color="auto"/>
            <w:bottom w:val="none" w:sz="0" w:space="0" w:color="auto"/>
            <w:right w:val="none" w:sz="0" w:space="0" w:color="auto"/>
          </w:divBdr>
        </w:div>
        <w:div w:id="167838053">
          <w:marLeft w:val="864"/>
          <w:marRight w:val="0"/>
          <w:marTop w:val="0"/>
          <w:marBottom w:val="101"/>
          <w:divBdr>
            <w:top w:val="none" w:sz="0" w:space="0" w:color="auto"/>
            <w:left w:val="none" w:sz="0" w:space="0" w:color="auto"/>
            <w:bottom w:val="none" w:sz="0" w:space="0" w:color="auto"/>
            <w:right w:val="none" w:sz="0" w:space="0" w:color="auto"/>
          </w:divBdr>
        </w:div>
        <w:div w:id="41877820">
          <w:marLeft w:val="864"/>
          <w:marRight w:val="0"/>
          <w:marTop w:val="0"/>
          <w:marBottom w:val="101"/>
          <w:divBdr>
            <w:top w:val="none" w:sz="0" w:space="0" w:color="auto"/>
            <w:left w:val="none" w:sz="0" w:space="0" w:color="auto"/>
            <w:bottom w:val="none" w:sz="0" w:space="0" w:color="auto"/>
            <w:right w:val="none" w:sz="0" w:space="0" w:color="auto"/>
          </w:divBdr>
        </w:div>
        <w:div w:id="1410224828">
          <w:marLeft w:val="864"/>
          <w:marRight w:val="0"/>
          <w:marTop w:val="0"/>
          <w:marBottom w:val="101"/>
          <w:divBdr>
            <w:top w:val="none" w:sz="0" w:space="0" w:color="auto"/>
            <w:left w:val="none" w:sz="0" w:space="0" w:color="auto"/>
            <w:bottom w:val="none" w:sz="0" w:space="0" w:color="auto"/>
            <w:right w:val="none" w:sz="0" w:space="0" w:color="auto"/>
          </w:divBdr>
        </w:div>
        <w:div w:id="194084321">
          <w:marLeft w:val="864"/>
          <w:marRight w:val="0"/>
          <w:marTop w:val="0"/>
          <w:marBottom w:val="101"/>
          <w:divBdr>
            <w:top w:val="none" w:sz="0" w:space="0" w:color="auto"/>
            <w:left w:val="none" w:sz="0" w:space="0" w:color="auto"/>
            <w:bottom w:val="none" w:sz="0" w:space="0" w:color="auto"/>
            <w:right w:val="none" w:sz="0" w:space="0" w:color="auto"/>
          </w:divBdr>
        </w:div>
        <w:div w:id="1314797756">
          <w:marLeft w:val="864"/>
          <w:marRight w:val="0"/>
          <w:marTop w:val="0"/>
          <w:marBottom w:val="101"/>
          <w:divBdr>
            <w:top w:val="none" w:sz="0" w:space="0" w:color="auto"/>
            <w:left w:val="none" w:sz="0" w:space="0" w:color="auto"/>
            <w:bottom w:val="none" w:sz="0" w:space="0" w:color="auto"/>
            <w:right w:val="none" w:sz="0" w:space="0" w:color="auto"/>
          </w:divBdr>
        </w:div>
        <w:div w:id="236864696">
          <w:marLeft w:val="864"/>
          <w:marRight w:val="0"/>
          <w:marTop w:val="0"/>
          <w:marBottom w:val="101"/>
          <w:divBdr>
            <w:top w:val="none" w:sz="0" w:space="0" w:color="auto"/>
            <w:left w:val="none" w:sz="0" w:space="0" w:color="auto"/>
            <w:bottom w:val="none" w:sz="0" w:space="0" w:color="auto"/>
            <w:right w:val="none" w:sz="0" w:space="0" w:color="auto"/>
          </w:divBdr>
        </w:div>
        <w:div w:id="1750928035">
          <w:marLeft w:val="864"/>
          <w:marRight w:val="0"/>
          <w:marTop w:val="0"/>
          <w:marBottom w:val="101"/>
          <w:divBdr>
            <w:top w:val="none" w:sz="0" w:space="0" w:color="auto"/>
            <w:left w:val="none" w:sz="0" w:space="0" w:color="auto"/>
            <w:bottom w:val="none" w:sz="0" w:space="0" w:color="auto"/>
            <w:right w:val="none" w:sz="0" w:space="0" w:color="auto"/>
          </w:divBdr>
        </w:div>
        <w:div w:id="534739079">
          <w:marLeft w:val="864"/>
          <w:marRight w:val="0"/>
          <w:marTop w:val="0"/>
          <w:marBottom w:val="101"/>
          <w:divBdr>
            <w:top w:val="none" w:sz="0" w:space="0" w:color="auto"/>
            <w:left w:val="none" w:sz="0" w:space="0" w:color="auto"/>
            <w:bottom w:val="none" w:sz="0" w:space="0" w:color="auto"/>
            <w:right w:val="none" w:sz="0" w:space="0" w:color="auto"/>
          </w:divBdr>
        </w:div>
        <w:div w:id="1831486904">
          <w:marLeft w:val="864"/>
          <w:marRight w:val="0"/>
          <w:marTop w:val="0"/>
          <w:marBottom w:val="101"/>
          <w:divBdr>
            <w:top w:val="none" w:sz="0" w:space="0" w:color="auto"/>
            <w:left w:val="none" w:sz="0" w:space="0" w:color="auto"/>
            <w:bottom w:val="none" w:sz="0" w:space="0" w:color="auto"/>
            <w:right w:val="none" w:sz="0" w:space="0" w:color="auto"/>
          </w:divBdr>
        </w:div>
        <w:div w:id="802233299">
          <w:marLeft w:val="864"/>
          <w:marRight w:val="0"/>
          <w:marTop w:val="0"/>
          <w:marBottom w:val="101"/>
          <w:divBdr>
            <w:top w:val="none" w:sz="0" w:space="0" w:color="auto"/>
            <w:left w:val="none" w:sz="0" w:space="0" w:color="auto"/>
            <w:bottom w:val="none" w:sz="0" w:space="0" w:color="auto"/>
            <w:right w:val="none" w:sz="0" w:space="0" w:color="auto"/>
          </w:divBdr>
        </w:div>
        <w:div w:id="2101633067">
          <w:marLeft w:val="864"/>
          <w:marRight w:val="0"/>
          <w:marTop w:val="0"/>
          <w:marBottom w:val="101"/>
          <w:divBdr>
            <w:top w:val="none" w:sz="0" w:space="0" w:color="auto"/>
            <w:left w:val="none" w:sz="0" w:space="0" w:color="auto"/>
            <w:bottom w:val="none" w:sz="0" w:space="0" w:color="auto"/>
            <w:right w:val="none" w:sz="0" w:space="0" w:color="auto"/>
          </w:divBdr>
        </w:div>
        <w:div w:id="1902903304">
          <w:marLeft w:val="0"/>
          <w:marRight w:val="0"/>
          <w:marTop w:val="0"/>
          <w:marBottom w:val="101"/>
          <w:divBdr>
            <w:top w:val="none" w:sz="0" w:space="0" w:color="auto"/>
            <w:left w:val="none" w:sz="0" w:space="0" w:color="auto"/>
            <w:bottom w:val="none" w:sz="0" w:space="0" w:color="auto"/>
            <w:right w:val="none" w:sz="0" w:space="0" w:color="auto"/>
          </w:divBdr>
        </w:div>
        <w:div w:id="966394515">
          <w:marLeft w:val="0"/>
          <w:marRight w:val="0"/>
          <w:marTop w:val="0"/>
          <w:marBottom w:val="101"/>
          <w:divBdr>
            <w:top w:val="none" w:sz="0" w:space="0" w:color="auto"/>
            <w:left w:val="none" w:sz="0" w:space="0" w:color="auto"/>
            <w:bottom w:val="none" w:sz="0" w:space="0" w:color="auto"/>
            <w:right w:val="none" w:sz="0" w:space="0" w:color="auto"/>
          </w:divBdr>
        </w:div>
        <w:div w:id="1164128637">
          <w:marLeft w:val="0"/>
          <w:marRight w:val="0"/>
          <w:marTop w:val="0"/>
          <w:marBottom w:val="101"/>
          <w:divBdr>
            <w:top w:val="none" w:sz="0" w:space="0" w:color="auto"/>
            <w:left w:val="none" w:sz="0" w:space="0" w:color="auto"/>
            <w:bottom w:val="none" w:sz="0" w:space="0" w:color="auto"/>
            <w:right w:val="none" w:sz="0" w:space="0" w:color="auto"/>
          </w:divBdr>
        </w:div>
        <w:div w:id="259946416">
          <w:marLeft w:val="0"/>
          <w:marRight w:val="0"/>
          <w:marTop w:val="0"/>
          <w:marBottom w:val="101"/>
          <w:divBdr>
            <w:top w:val="none" w:sz="0" w:space="0" w:color="auto"/>
            <w:left w:val="none" w:sz="0" w:space="0" w:color="auto"/>
            <w:bottom w:val="none" w:sz="0" w:space="0" w:color="auto"/>
            <w:right w:val="none" w:sz="0" w:space="0" w:color="auto"/>
          </w:divBdr>
        </w:div>
        <w:div w:id="1499151626">
          <w:marLeft w:val="864"/>
          <w:marRight w:val="0"/>
          <w:marTop w:val="0"/>
          <w:marBottom w:val="101"/>
          <w:divBdr>
            <w:top w:val="none" w:sz="0" w:space="0" w:color="auto"/>
            <w:left w:val="none" w:sz="0" w:space="0" w:color="auto"/>
            <w:bottom w:val="none" w:sz="0" w:space="0" w:color="auto"/>
            <w:right w:val="none" w:sz="0" w:space="0" w:color="auto"/>
          </w:divBdr>
        </w:div>
        <w:div w:id="936257350">
          <w:marLeft w:val="864"/>
          <w:marRight w:val="0"/>
          <w:marTop w:val="0"/>
          <w:marBottom w:val="101"/>
          <w:divBdr>
            <w:top w:val="none" w:sz="0" w:space="0" w:color="auto"/>
            <w:left w:val="none" w:sz="0" w:space="0" w:color="auto"/>
            <w:bottom w:val="none" w:sz="0" w:space="0" w:color="auto"/>
            <w:right w:val="none" w:sz="0" w:space="0" w:color="auto"/>
          </w:divBdr>
        </w:div>
        <w:div w:id="953637442">
          <w:marLeft w:val="864"/>
          <w:marRight w:val="0"/>
          <w:marTop w:val="0"/>
          <w:marBottom w:val="101"/>
          <w:divBdr>
            <w:top w:val="none" w:sz="0" w:space="0" w:color="auto"/>
            <w:left w:val="none" w:sz="0" w:space="0" w:color="auto"/>
            <w:bottom w:val="none" w:sz="0" w:space="0" w:color="auto"/>
            <w:right w:val="none" w:sz="0" w:space="0" w:color="auto"/>
          </w:divBdr>
        </w:div>
        <w:div w:id="1131365294">
          <w:marLeft w:val="0"/>
          <w:marRight w:val="0"/>
          <w:marTop w:val="0"/>
          <w:marBottom w:val="101"/>
          <w:divBdr>
            <w:top w:val="none" w:sz="0" w:space="0" w:color="auto"/>
            <w:left w:val="none" w:sz="0" w:space="0" w:color="auto"/>
            <w:bottom w:val="none" w:sz="0" w:space="0" w:color="auto"/>
            <w:right w:val="none" w:sz="0" w:space="0" w:color="auto"/>
          </w:divBdr>
        </w:div>
        <w:div w:id="2055306527">
          <w:marLeft w:val="864"/>
          <w:marRight w:val="0"/>
          <w:marTop w:val="0"/>
          <w:marBottom w:val="101"/>
          <w:divBdr>
            <w:top w:val="none" w:sz="0" w:space="0" w:color="auto"/>
            <w:left w:val="none" w:sz="0" w:space="0" w:color="auto"/>
            <w:bottom w:val="none" w:sz="0" w:space="0" w:color="auto"/>
            <w:right w:val="none" w:sz="0" w:space="0" w:color="auto"/>
          </w:divBdr>
        </w:div>
        <w:div w:id="831532907">
          <w:marLeft w:val="1310"/>
          <w:marRight w:val="0"/>
          <w:marTop w:val="0"/>
          <w:marBottom w:val="101"/>
          <w:divBdr>
            <w:top w:val="none" w:sz="0" w:space="0" w:color="auto"/>
            <w:left w:val="none" w:sz="0" w:space="0" w:color="auto"/>
            <w:bottom w:val="none" w:sz="0" w:space="0" w:color="auto"/>
            <w:right w:val="none" w:sz="0" w:space="0" w:color="auto"/>
          </w:divBdr>
        </w:div>
        <w:div w:id="608703432">
          <w:marLeft w:val="1310"/>
          <w:marRight w:val="0"/>
          <w:marTop w:val="0"/>
          <w:marBottom w:val="101"/>
          <w:divBdr>
            <w:top w:val="none" w:sz="0" w:space="0" w:color="auto"/>
            <w:left w:val="none" w:sz="0" w:space="0" w:color="auto"/>
            <w:bottom w:val="none" w:sz="0" w:space="0" w:color="auto"/>
            <w:right w:val="none" w:sz="0" w:space="0" w:color="auto"/>
          </w:divBdr>
        </w:div>
        <w:div w:id="1731687847">
          <w:marLeft w:val="1310"/>
          <w:marRight w:val="0"/>
          <w:marTop w:val="0"/>
          <w:marBottom w:val="101"/>
          <w:divBdr>
            <w:top w:val="none" w:sz="0" w:space="0" w:color="auto"/>
            <w:left w:val="none" w:sz="0" w:space="0" w:color="auto"/>
            <w:bottom w:val="none" w:sz="0" w:space="0" w:color="auto"/>
            <w:right w:val="none" w:sz="0" w:space="0" w:color="auto"/>
          </w:divBdr>
        </w:div>
        <w:div w:id="886185198">
          <w:marLeft w:val="1771"/>
          <w:marRight w:val="0"/>
          <w:marTop w:val="0"/>
          <w:marBottom w:val="101"/>
          <w:divBdr>
            <w:top w:val="none" w:sz="0" w:space="0" w:color="auto"/>
            <w:left w:val="none" w:sz="0" w:space="0" w:color="auto"/>
            <w:bottom w:val="none" w:sz="0" w:space="0" w:color="auto"/>
            <w:right w:val="none" w:sz="0" w:space="0" w:color="auto"/>
          </w:divBdr>
        </w:div>
        <w:div w:id="1765959279">
          <w:marLeft w:val="1771"/>
          <w:marRight w:val="0"/>
          <w:marTop w:val="0"/>
          <w:marBottom w:val="101"/>
          <w:divBdr>
            <w:top w:val="none" w:sz="0" w:space="0" w:color="auto"/>
            <w:left w:val="none" w:sz="0" w:space="0" w:color="auto"/>
            <w:bottom w:val="none" w:sz="0" w:space="0" w:color="auto"/>
            <w:right w:val="none" w:sz="0" w:space="0" w:color="auto"/>
          </w:divBdr>
        </w:div>
        <w:div w:id="1443646035">
          <w:marLeft w:val="1771"/>
          <w:marRight w:val="0"/>
          <w:marTop w:val="0"/>
          <w:marBottom w:val="101"/>
          <w:divBdr>
            <w:top w:val="none" w:sz="0" w:space="0" w:color="auto"/>
            <w:left w:val="none" w:sz="0" w:space="0" w:color="auto"/>
            <w:bottom w:val="none" w:sz="0" w:space="0" w:color="auto"/>
            <w:right w:val="none" w:sz="0" w:space="0" w:color="auto"/>
          </w:divBdr>
        </w:div>
        <w:div w:id="1772779470">
          <w:marLeft w:val="1771"/>
          <w:marRight w:val="0"/>
          <w:marTop w:val="0"/>
          <w:marBottom w:val="101"/>
          <w:divBdr>
            <w:top w:val="none" w:sz="0" w:space="0" w:color="auto"/>
            <w:left w:val="none" w:sz="0" w:space="0" w:color="auto"/>
            <w:bottom w:val="none" w:sz="0" w:space="0" w:color="auto"/>
            <w:right w:val="none" w:sz="0" w:space="0" w:color="auto"/>
          </w:divBdr>
        </w:div>
        <w:div w:id="1337926266">
          <w:marLeft w:val="864"/>
          <w:marRight w:val="0"/>
          <w:marTop w:val="0"/>
          <w:marBottom w:val="101"/>
          <w:divBdr>
            <w:top w:val="none" w:sz="0" w:space="0" w:color="auto"/>
            <w:left w:val="none" w:sz="0" w:space="0" w:color="auto"/>
            <w:bottom w:val="none" w:sz="0" w:space="0" w:color="auto"/>
            <w:right w:val="none" w:sz="0" w:space="0" w:color="auto"/>
          </w:divBdr>
        </w:div>
        <w:div w:id="1131167503">
          <w:marLeft w:val="864"/>
          <w:marRight w:val="0"/>
          <w:marTop w:val="0"/>
          <w:marBottom w:val="101"/>
          <w:divBdr>
            <w:top w:val="none" w:sz="0" w:space="0" w:color="auto"/>
            <w:left w:val="none" w:sz="0" w:space="0" w:color="auto"/>
            <w:bottom w:val="none" w:sz="0" w:space="0" w:color="auto"/>
            <w:right w:val="none" w:sz="0" w:space="0" w:color="auto"/>
          </w:divBdr>
        </w:div>
        <w:div w:id="1245145894">
          <w:marLeft w:val="864"/>
          <w:marRight w:val="0"/>
          <w:marTop w:val="0"/>
          <w:marBottom w:val="101"/>
          <w:divBdr>
            <w:top w:val="none" w:sz="0" w:space="0" w:color="auto"/>
            <w:left w:val="none" w:sz="0" w:space="0" w:color="auto"/>
            <w:bottom w:val="none" w:sz="0" w:space="0" w:color="auto"/>
            <w:right w:val="none" w:sz="0" w:space="0" w:color="auto"/>
          </w:divBdr>
        </w:div>
        <w:div w:id="1191530319">
          <w:marLeft w:val="864"/>
          <w:marRight w:val="0"/>
          <w:marTop w:val="0"/>
          <w:marBottom w:val="101"/>
          <w:divBdr>
            <w:top w:val="none" w:sz="0" w:space="0" w:color="auto"/>
            <w:left w:val="none" w:sz="0" w:space="0" w:color="auto"/>
            <w:bottom w:val="none" w:sz="0" w:space="0" w:color="auto"/>
            <w:right w:val="none" w:sz="0" w:space="0" w:color="auto"/>
          </w:divBdr>
        </w:div>
        <w:div w:id="811216475">
          <w:marLeft w:val="864"/>
          <w:marRight w:val="0"/>
          <w:marTop w:val="0"/>
          <w:marBottom w:val="101"/>
          <w:divBdr>
            <w:top w:val="none" w:sz="0" w:space="0" w:color="auto"/>
            <w:left w:val="none" w:sz="0" w:space="0" w:color="auto"/>
            <w:bottom w:val="none" w:sz="0" w:space="0" w:color="auto"/>
            <w:right w:val="none" w:sz="0" w:space="0" w:color="auto"/>
          </w:divBdr>
        </w:div>
        <w:div w:id="2137597192">
          <w:marLeft w:val="864"/>
          <w:marRight w:val="0"/>
          <w:marTop w:val="0"/>
          <w:marBottom w:val="101"/>
          <w:divBdr>
            <w:top w:val="none" w:sz="0" w:space="0" w:color="auto"/>
            <w:left w:val="none" w:sz="0" w:space="0" w:color="auto"/>
            <w:bottom w:val="none" w:sz="0" w:space="0" w:color="auto"/>
            <w:right w:val="none" w:sz="0" w:space="0" w:color="auto"/>
          </w:divBdr>
        </w:div>
        <w:div w:id="899293360">
          <w:marLeft w:val="864"/>
          <w:marRight w:val="0"/>
          <w:marTop w:val="0"/>
          <w:marBottom w:val="101"/>
          <w:divBdr>
            <w:top w:val="none" w:sz="0" w:space="0" w:color="auto"/>
            <w:left w:val="none" w:sz="0" w:space="0" w:color="auto"/>
            <w:bottom w:val="none" w:sz="0" w:space="0" w:color="auto"/>
            <w:right w:val="none" w:sz="0" w:space="0" w:color="auto"/>
          </w:divBdr>
        </w:div>
        <w:div w:id="569266591">
          <w:marLeft w:val="864"/>
          <w:marRight w:val="0"/>
          <w:marTop w:val="0"/>
          <w:marBottom w:val="101"/>
          <w:divBdr>
            <w:top w:val="none" w:sz="0" w:space="0" w:color="auto"/>
            <w:left w:val="none" w:sz="0" w:space="0" w:color="auto"/>
            <w:bottom w:val="none" w:sz="0" w:space="0" w:color="auto"/>
            <w:right w:val="none" w:sz="0" w:space="0" w:color="auto"/>
          </w:divBdr>
        </w:div>
        <w:div w:id="1919561066">
          <w:marLeft w:val="0"/>
          <w:marRight w:val="0"/>
          <w:marTop w:val="0"/>
          <w:marBottom w:val="101"/>
          <w:divBdr>
            <w:top w:val="none" w:sz="0" w:space="0" w:color="auto"/>
            <w:left w:val="none" w:sz="0" w:space="0" w:color="auto"/>
            <w:bottom w:val="none" w:sz="0" w:space="0" w:color="auto"/>
            <w:right w:val="none" w:sz="0" w:space="0" w:color="auto"/>
          </w:divBdr>
        </w:div>
        <w:div w:id="1041052934">
          <w:marLeft w:val="864"/>
          <w:marRight w:val="0"/>
          <w:marTop w:val="0"/>
          <w:marBottom w:val="101"/>
          <w:divBdr>
            <w:top w:val="none" w:sz="0" w:space="0" w:color="auto"/>
            <w:left w:val="none" w:sz="0" w:space="0" w:color="auto"/>
            <w:bottom w:val="none" w:sz="0" w:space="0" w:color="auto"/>
            <w:right w:val="none" w:sz="0" w:space="0" w:color="auto"/>
          </w:divBdr>
        </w:div>
        <w:div w:id="1118597241">
          <w:marLeft w:val="864"/>
          <w:marRight w:val="0"/>
          <w:marTop w:val="0"/>
          <w:marBottom w:val="101"/>
          <w:divBdr>
            <w:top w:val="none" w:sz="0" w:space="0" w:color="auto"/>
            <w:left w:val="none" w:sz="0" w:space="0" w:color="auto"/>
            <w:bottom w:val="none" w:sz="0" w:space="0" w:color="auto"/>
            <w:right w:val="none" w:sz="0" w:space="0" w:color="auto"/>
          </w:divBdr>
        </w:div>
        <w:div w:id="2075538995">
          <w:marLeft w:val="864"/>
          <w:marRight w:val="0"/>
          <w:marTop w:val="0"/>
          <w:marBottom w:val="101"/>
          <w:divBdr>
            <w:top w:val="none" w:sz="0" w:space="0" w:color="auto"/>
            <w:left w:val="none" w:sz="0" w:space="0" w:color="auto"/>
            <w:bottom w:val="none" w:sz="0" w:space="0" w:color="auto"/>
            <w:right w:val="none" w:sz="0" w:space="0" w:color="auto"/>
          </w:divBdr>
        </w:div>
        <w:div w:id="1412771036">
          <w:marLeft w:val="0"/>
          <w:marRight w:val="0"/>
          <w:marTop w:val="0"/>
          <w:marBottom w:val="101"/>
          <w:divBdr>
            <w:top w:val="none" w:sz="0" w:space="0" w:color="auto"/>
            <w:left w:val="none" w:sz="0" w:space="0" w:color="auto"/>
            <w:bottom w:val="none" w:sz="0" w:space="0" w:color="auto"/>
            <w:right w:val="none" w:sz="0" w:space="0" w:color="auto"/>
          </w:divBdr>
        </w:div>
        <w:div w:id="2071033375">
          <w:marLeft w:val="864"/>
          <w:marRight w:val="0"/>
          <w:marTop w:val="0"/>
          <w:marBottom w:val="101"/>
          <w:divBdr>
            <w:top w:val="none" w:sz="0" w:space="0" w:color="auto"/>
            <w:left w:val="none" w:sz="0" w:space="0" w:color="auto"/>
            <w:bottom w:val="none" w:sz="0" w:space="0" w:color="auto"/>
            <w:right w:val="none" w:sz="0" w:space="0" w:color="auto"/>
          </w:divBdr>
        </w:div>
        <w:div w:id="569117436">
          <w:marLeft w:val="864"/>
          <w:marRight w:val="0"/>
          <w:marTop w:val="0"/>
          <w:marBottom w:val="101"/>
          <w:divBdr>
            <w:top w:val="none" w:sz="0" w:space="0" w:color="auto"/>
            <w:left w:val="none" w:sz="0" w:space="0" w:color="auto"/>
            <w:bottom w:val="none" w:sz="0" w:space="0" w:color="auto"/>
            <w:right w:val="none" w:sz="0" w:space="0" w:color="auto"/>
          </w:divBdr>
        </w:div>
        <w:div w:id="2054305963">
          <w:marLeft w:val="864"/>
          <w:marRight w:val="0"/>
          <w:marTop w:val="0"/>
          <w:marBottom w:val="101"/>
          <w:divBdr>
            <w:top w:val="none" w:sz="0" w:space="0" w:color="auto"/>
            <w:left w:val="none" w:sz="0" w:space="0" w:color="auto"/>
            <w:bottom w:val="none" w:sz="0" w:space="0" w:color="auto"/>
            <w:right w:val="none" w:sz="0" w:space="0" w:color="auto"/>
          </w:divBdr>
        </w:div>
        <w:div w:id="155534943">
          <w:marLeft w:val="0"/>
          <w:marRight w:val="0"/>
          <w:marTop w:val="0"/>
          <w:marBottom w:val="101"/>
          <w:divBdr>
            <w:top w:val="none" w:sz="0" w:space="0" w:color="auto"/>
            <w:left w:val="none" w:sz="0" w:space="0" w:color="auto"/>
            <w:bottom w:val="none" w:sz="0" w:space="0" w:color="auto"/>
            <w:right w:val="none" w:sz="0" w:space="0" w:color="auto"/>
          </w:divBdr>
        </w:div>
        <w:div w:id="1215117607">
          <w:marLeft w:val="864"/>
          <w:marRight w:val="0"/>
          <w:marTop w:val="0"/>
          <w:marBottom w:val="101"/>
          <w:divBdr>
            <w:top w:val="none" w:sz="0" w:space="0" w:color="auto"/>
            <w:left w:val="none" w:sz="0" w:space="0" w:color="auto"/>
            <w:bottom w:val="none" w:sz="0" w:space="0" w:color="auto"/>
            <w:right w:val="none" w:sz="0" w:space="0" w:color="auto"/>
          </w:divBdr>
        </w:div>
        <w:div w:id="350377010">
          <w:marLeft w:val="864"/>
          <w:marRight w:val="0"/>
          <w:marTop w:val="0"/>
          <w:marBottom w:val="101"/>
          <w:divBdr>
            <w:top w:val="none" w:sz="0" w:space="0" w:color="auto"/>
            <w:left w:val="none" w:sz="0" w:space="0" w:color="auto"/>
            <w:bottom w:val="none" w:sz="0" w:space="0" w:color="auto"/>
            <w:right w:val="none" w:sz="0" w:space="0" w:color="auto"/>
          </w:divBdr>
        </w:div>
        <w:div w:id="813761859">
          <w:marLeft w:val="864"/>
          <w:marRight w:val="0"/>
          <w:marTop w:val="0"/>
          <w:marBottom w:val="101"/>
          <w:divBdr>
            <w:top w:val="none" w:sz="0" w:space="0" w:color="auto"/>
            <w:left w:val="none" w:sz="0" w:space="0" w:color="auto"/>
            <w:bottom w:val="none" w:sz="0" w:space="0" w:color="auto"/>
            <w:right w:val="none" w:sz="0" w:space="0" w:color="auto"/>
          </w:divBdr>
        </w:div>
        <w:div w:id="1965454906">
          <w:marLeft w:val="864"/>
          <w:marRight w:val="0"/>
          <w:marTop w:val="0"/>
          <w:marBottom w:val="101"/>
          <w:divBdr>
            <w:top w:val="none" w:sz="0" w:space="0" w:color="auto"/>
            <w:left w:val="none" w:sz="0" w:space="0" w:color="auto"/>
            <w:bottom w:val="none" w:sz="0" w:space="0" w:color="auto"/>
            <w:right w:val="none" w:sz="0" w:space="0" w:color="auto"/>
          </w:divBdr>
        </w:div>
        <w:div w:id="972445730">
          <w:marLeft w:val="864"/>
          <w:marRight w:val="0"/>
          <w:marTop w:val="0"/>
          <w:marBottom w:val="101"/>
          <w:divBdr>
            <w:top w:val="none" w:sz="0" w:space="0" w:color="auto"/>
            <w:left w:val="none" w:sz="0" w:space="0" w:color="auto"/>
            <w:bottom w:val="none" w:sz="0" w:space="0" w:color="auto"/>
            <w:right w:val="none" w:sz="0" w:space="0" w:color="auto"/>
          </w:divBdr>
        </w:div>
        <w:div w:id="908543433">
          <w:marLeft w:val="0"/>
          <w:marRight w:val="0"/>
          <w:marTop w:val="0"/>
          <w:marBottom w:val="101"/>
          <w:divBdr>
            <w:top w:val="none" w:sz="0" w:space="0" w:color="auto"/>
            <w:left w:val="none" w:sz="0" w:space="0" w:color="auto"/>
            <w:bottom w:val="none" w:sz="0" w:space="0" w:color="auto"/>
            <w:right w:val="none" w:sz="0" w:space="0" w:color="auto"/>
          </w:divBdr>
        </w:div>
        <w:div w:id="1216813871">
          <w:marLeft w:val="864"/>
          <w:marRight w:val="0"/>
          <w:marTop w:val="0"/>
          <w:marBottom w:val="101"/>
          <w:divBdr>
            <w:top w:val="none" w:sz="0" w:space="0" w:color="auto"/>
            <w:left w:val="none" w:sz="0" w:space="0" w:color="auto"/>
            <w:bottom w:val="none" w:sz="0" w:space="0" w:color="auto"/>
            <w:right w:val="none" w:sz="0" w:space="0" w:color="auto"/>
          </w:divBdr>
        </w:div>
        <w:div w:id="1515874712">
          <w:marLeft w:val="864"/>
          <w:marRight w:val="0"/>
          <w:marTop w:val="0"/>
          <w:marBottom w:val="101"/>
          <w:divBdr>
            <w:top w:val="none" w:sz="0" w:space="0" w:color="auto"/>
            <w:left w:val="none" w:sz="0" w:space="0" w:color="auto"/>
            <w:bottom w:val="none" w:sz="0" w:space="0" w:color="auto"/>
            <w:right w:val="none" w:sz="0" w:space="0" w:color="auto"/>
          </w:divBdr>
        </w:div>
        <w:div w:id="300154911">
          <w:marLeft w:val="0"/>
          <w:marRight w:val="0"/>
          <w:marTop w:val="0"/>
          <w:marBottom w:val="101"/>
          <w:divBdr>
            <w:top w:val="none" w:sz="0" w:space="0" w:color="auto"/>
            <w:left w:val="none" w:sz="0" w:space="0" w:color="auto"/>
            <w:bottom w:val="none" w:sz="0" w:space="0" w:color="auto"/>
            <w:right w:val="none" w:sz="0" w:space="0" w:color="auto"/>
          </w:divBdr>
        </w:div>
        <w:div w:id="1021586056">
          <w:marLeft w:val="864"/>
          <w:marRight w:val="0"/>
          <w:marTop w:val="0"/>
          <w:marBottom w:val="101"/>
          <w:divBdr>
            <w:top w:val="none" w:sz="0" w:space="0" w:color="auto"/>
            <w:left w:val="none" w:sz="0" w:space="0" w:color="auto"/>
            <w:bottom w:val="none" w:sz="0" w:space="0" w:color="auto"/>
            <w:right w:val="none" w:sz="0" w:space="0" w:color="auto"/>
          </w:divBdr>
        </w:div>
        <w:div w:id="1112558396">
          <w:marLeft w:val="0"/>
          <w:marRight w:val="0"/>
          <w:marTop w:val="0"/>
          <w:marBottom w:val="101"/>
          <w:divBdr>
            <w:top w:val="none" w:sz="0" w:space="0" w:color="auto"/>
            <w:left w:val="none" w:sz="0" w:space="0" w:color="auto"/>
            <w:bottom w:val="none" w:sz="0" w:space="0" w:color="auto"/>
            <w:right w:val="none" w:sz="0" w:space="0" w:color="auto"/>
          </w:divBdr>
        </w:div>
        <w:div w:id="1384061007">
          <w:marLeft w:val="864"/>
          <w:marRight w:val="0"/>
          <w:marTop w:val="0"/>
          <w:marBottom w:val="101"/>
          <w:divBdr>
            <w:top w:val="none" w:sz="0" w:space="0" w:color="auto"/>
            <w:left w:val="none" w:sz="0" w:space="0" w:color="auto"/>
            <w:bottom w:val="none" w:sz="0" w:space="0" w:color="auto"/>
            <w:right w:val="none" w:sz="0" w:space="0" w:color="auto"/>
          </w:divBdr>
        </w:div>
        <w:div w:id="321663406">
          <w:marLeft w:val="0"/>
          <w:marRight w:val="0"/>
          <w:marTop w:val="0"/>
          <w:marBottom w:val="101"/>
          <w:divBdr>
            <w:top w:val="none" w:sz="0" w:space="0" w:color="auto"/>
            <w:left w:val="none" w:sz="0" w:space="0" w:color="auto"/>
            <w:bottom w:val="none" w:sz="0" w:space="0" w:color="auto"/>
            <w:right w:val="none" w:sz="0" w:space="0" w:color="auto"/>
          </w:divBdr>
        </w:div>
        <w:div w:id="1860048821">
          <w:marLeft w:val="864"/>
          <w:marRight w:val="0"/>
          <w:marTop w:val="0"/>
          <w:marBottom w:val="101"/>
          <w:divBdr>
            <w:top w:val="none" w:sz="0" w:space="0" w:color="auto"/>
            <w:left w:val="none" w:sz="0" w:space="0" w:color="auto"/>
            <w:bottom w:val="none" w:sz="0" w:space="0" w:color="auto"/>
            <w:right w:val="none" w:sz="0" w:space="0" w:color="auto"/>
          </w:divBdr>
        </w:div>
        <w:div w:id="270092017">
          <w:marLeft w:val="0"/>
          <w:marRight w:val="0"/>
          <w:marTop w:val="0"/>
          <w:marBottom w:val="101"/>
          <w:divBdr>
            <w:top w:val="none" w:sz="0" w:space="0" w:color="auto"/>
            <w:left w:val="none" w:sz="0" w:space="0" w:color="auto"/>
            <w:bottom w:val="none" w:sz="0" w:space="0" w:color="auto"/>
            <w:right w:val="none" w:sz="0" w:space="0" w:color="auto"/>
          </w:divBdr>
        </w:div>
        <w:div w:id="805854845">
          <w:marLeft w:val="864"/>
          <w:marRight w:val="0"/>
          <w:marTop w:val="0"/>
          <w:marBottom w:val="101"/>
          <w:divBdr>
            <w:top w:val="none" w:sz="0" w:space="0" w:color="auto"/>
            <w:left w:val="none" w:sz="0" w:space="0" w:color="auto"/>
            <w:bottom w:val="none" w:sz="0" w:space="0" w:color="auto"/>
            <w:right w:val="none" w:sz="0" w:space="0" w:color="auto"/>
          </w:divBdr>
        </w:div>
        <w:div w:id="324482713">
          <w:marLeft w:val="864"/>
          <w:marRight w:val="0"/>
          <w:marTop w:val="0"/>
          <w:marBottom w:val="101"/>
          <w:divBdr>
            <w:top w:val="none" w:sz="0" w:space="0" w:color="auto"/>
            <w:left w:val="none" w:sz="0" w:space="0" w:color="auto"/>
            <w:bottom w:val="none" w:sz="0" w:space="0" w:color="auto"/>
            <w:right w:val="none" w:sz="0" w:space="0" w:color="auto"/>
          </w:divBdr>
        </w:div>
        <w:div w:id="825972789">
          <w:marLeft w:val="1310"/>
          <w:marRight w:val="0"/>
          <w:marTop w:val="0"/>
          <w:marBottom w:val="101"/>
          <w:divBdr>
            <w:top w:val="none" w:sz="0" w:space="0" w:color="auto"/>
            <w:left w:val="none" w:sz="0" w:space="0" w:color="auto"/>
            <w:bottom w:val="none" w:sz="0" w:space="0" w:color="auto"/>
            <w:right w:val="none" w:sz="0" w:space="0" w:color="auto"/>
          </w:divBdr>
        </w:div>
        <w:div w:id="313721416">
          <w:marLeft w:val="1310"/>
          <w:marRight w:val="0"/>
          <w:marTop w:val="0"/>
          <w:marBottom w:val="101"/>
          <w:divBdr>
            <w:top w:val="none" w:sz="0" w:space="0" w:color="auto"/>
            <w:left w:val="none" w:sz="0" w:space="0" w:color="auto"/>
            <w:bottom w:val="none" w:sz="0" w:space="0" w:color="auto"/>
            <w:right w:val="none" w:sz="0" w:space="0" w:color="auto"/>
          </w:divBdr>
        </w:div>
        <w:div w:id="2098942444">
          <w:marLeft w:val="1310"/>
          <w:marRight w:val="0"/>
          <w:marTop w:val="0"/>
          <w:marBottom w:val="101"/>
          <w:divBdr>
            <w:top w:val="none" w:sz="0" w:space="0" w:color="auto"/>
            <w:left w:val="none" w:sz="0" w:space="0" w:color="auto"/>
            <w:bottom w:val="none" w:sz="0" w:space="0" w:color="auto"/>
            <w:right w:val="none" w:sz="0" w:space="0" w:color="auto"/>
          </w:divBdr>
        </w:div>
        <w:div w:id="2080708746">
          <w:marLeft w:val="1310"/>
          <w:marRight w:val="0"/>
          <w:marTop w:val="0"/>
          <w:marBottom w:val="101"/>
          <w:divBdr>
            <w:top w:val="none" w:sz="0" w:space="0" w:color="auto"/>
            <w:left w:val="none" w:sz="0" w:space="0" w:color="auto"/>
            <w:bottom w:val="none" w:sz="0" w:space="0" w:color="auto"/>
            <w:right w:val="none" w:sz="0" w:space="0" w:color="auto"/>
          </w:divBdr>
        </w:div>
        <w:div w:id="1692873593">
          <w:marLeft w:val="864"/>
          <w:marRight w:val="0"/>
          <w:marTop w:val="0"/>
          <w:marBottom w:val="101"/>
          <w:divBdr>
            <w:top w:val="none" w:sz="0" w:space="0" w:color="auto"/>
            <w:left w:val="none" w:sz="0" w:space="0" w:color="auto"/>
            <w:bottom w:val="none" w:sz="0" w:space="0" w:color="auto"/>
            <w:right w:val="none" w:sz="0" w:space="0" w:color="auto"/>
          </w:divBdr>
        </w:div>
        <w:div w:id="1196695836">
          <w:marLeft w:val="864"/>
          <w:marRight w:val="0"/>
          <w:marTop w:val="0"/>
          <w:marBottom w:val="101"/>
          <w:divBdr>
            <w:top w:val="none" w:sz="0" w:space="0" w:color="auto"/>
            <w:left w:val="none" w:sz="0" w:space="0" w:color="auto"/>
            <w:bottom w:val="none" w:sz="0" w:space="0" w:color="auto"/>
            <w:right w:val="none" w:sz="0" w:space="0" w:color="auto"/>
          </w:divBdr>
        </w:div>
        <w:div w:id="1002468441">
          <w:marLeft w:val="0"/>
          <w:marRight w:val="0"/>
          <w:marTop w:val="0"/>
          <w:marBottom w:val="101"/>
          <w:divBdr>
            <w:top w:val="none" w:sz="0" w:space="0" w:color="auto"/>
            <w:left w:val="none" w:sz="0" w:space="0" w:color="auto"/>
            <w:bottom w:val="none" w:sz="0" w:space="0" w:color="auto"/>
            <w:right w:val="none" w:sz="0" w:space="0" w:color="auto"/>
          </w:divBdr>
        </w:div>
        <w:div w:id="539708649">
          <w:marLeft w:val="864"/>
          <w:marRight w:val="0"/>
          <w:marTop w:val="0"/>
          <w:marBottom w:val="101"/>
          <w:divBdr>
            <w:top w:val="none" w:sz="0" w:space="0" w:color="auto"/>
            <w:left w:val="none" w:sz="0" w:space="0" w:color="auto"/>
            <w:bottom w:val="none" w:sz="0" w:space="0" w:color="auto"/>
            <w:right w:val="none" w:sz="0" w:space="0" w:color="auto"/>
          </w:divBdr>
        </w:div>
        <w:div w:id="526452491">
          <w:marLeft w:val="0"/>
          <w:marRight w:val="0"/>
          <w:marTop w:val="0"/>
          <w:marBottom w:val="101"/>
          <w:divBdr>
            <w:top w:val="none" w:sz="0" w:space="0" w:color="auto"/>
            <w:left w:val="none" w:sz="0" w:space="0" w:color="auto"/>
            <w:bottom w:val="none" w:sz="0" w:space="0" w:color="auto"/>
            <w:right w:val="none" w:sz="0" w:space="0" w:color="auto"/>
          </w:divBdr>
        </w:div>
        <w:div w:id="680206726">
          <w:marLeft w:val="864"/>
          <w:marRight w:val="0"/>
          <w:marTop w:val="0"/>
          <w:marBottom w:val="101"/>
          <w:divBdr>
            <w:top w:val="none" w:sz="0" w:space="0" w:color="auto"/>
            <w:left w:val="none" w:sz="0" w:space="0" w:color="auto"/>
            <w:bottom w:val="none" w:sz="0" w:space="0" w:color="auto"/>
            <w:right w:val="none" w:sz="0" w:space="0" w:color="auto"/>
          </w:divBdr>
        </w:div>
        <w:div w:id="377702091">
          <w:marLeft w:val="0"/>
          <w:marRight w:val="0"/>
          <w:marTop w:val="0"/>
          <w:marBottom w:val="101"/>
          <w:divBdr>
            <w:top w:val="none" w:sz="0" w:space="0" w:color="auto"/>
            <w:left w:val="none" w:sz="0" w:space="0" w:color="auto"/>
            <w:bottom w:val="none" w:sz="0" w:space="0" w:color="auto"/>
            <w:right w:val="none" w:sz="0" w:space="0" w:color="auto"/>
          </w:divBdr>
        </w:div>
        <w:div w:id="71047720">
          <w:marLeft w:val="864"/>
          <w:marRight w:val="0"/>
          <w:marTop w:val="0"/>
          <w:marBottom w:val="101"/>
          <w:divBdr>
            <w:top w:val="none" w:sz="0" w:space="0" w:color="auto"/>
            <w:left w:val="none" w:sz="0" w:space="0" w:color="auto"/>
            <w:bottom w:val="none" w:sz="0" w:space="0" w:color="auto"/>
            <w:right w:val="none" w:sz="0" w:space="0" w:color="auto"/>
          </w:divBdr>
        </w:div>
        <w:div w:id="2023587128">
          <w:marLeft w:val="864"/>
          <w:marRight w:val="0"/>
          <w:marTop w:val="0"/>
          <w:marBottom w:val="101"/>
          <w:divBdr>
            <w:top w:val="none" w:sz="0" w:space="0" w:color="auto"/>
            <w:left w:val="none" w:sz="0" w:space="0" w:color="auto"/>
            <w:bottom w:val="none" w:sz="0" w:space="0" w:color="auto"/>
            <w:right w:val="none" w:sz="0" w:space="0" w:color="auto"/>
          </w:divBdr>
        </w:div>
        <w:div w:id="2009286434">
          <w:marLeft w:val="864"/>
          <w:marRight w:val="0"/>
          <w:marTop w:val="0"/>
          <w:marBottom w:val="101"/>
          <w:divBdr>
            <w:top w:val="none" w:sz="0" w:space="0" w:color="auto"/>
            <w:left w:val="none" w:sz="0" w:space="0" w:color="auto"/>
            <w:bottom w:val="none" w:sz="0" w:space="0" w:color="auto"/>
            <w:right w:val="none" w:sz="0" w:space="0" w:color="auto"/>
          </w:divBdr>
        </w:div>
        <w:div w:id="2131700646">
          <w:marLeft w:val="864"/>
          <w:marRight w:val="0"/>
          <w:marTop w:val="0"/>
          <w:marBottom w:val="101"/>
          <w:divBdr>
            <w:top w:val="none" w:sz="0" w:space="0" w:color="auto"/>
            <w:left w:val="none" w:sz="0" w:space="0" w:color="auto"/>
            <w:bottom w:val="none" w:sz="0" w:space="0" w:color="auto"/>
            <w:right w:val="none" w:sz="0" w:space="0" w:color="auto"/>
          </w:divBdr>
        </w:div>
        <w:div w:id="165026548">
          <w:marLeft w:val="864"/>
          <w:marRight w:val="0"/>
          <w:marTop w:val="0"/>
          <w:marBottom w:val="101"/>
          <w:divBdr>
            <w:top w:val="none" w:sz="0" w:space="0" w:color="auto"/>
            <w:left w:val="none" w:sz="0" w:space="0" w:color="auto"/>
            <w:bottom w:val="none" w:sz="0" w:space="0" w:color="auto"/>
            <w:right w:val="none" w:sz="0" w:space="0" w:color="auto"/>
          </w:divBdr>
        </w:div>
        <w:div w:id="173306397">
          <w:marLeft w:val="864"/>
          <w:marRight w:val="0"/>
          <w:marTop w:val="0"/>
          <w:marBottom w:val="101"/>
          <w:divBdr>
            <w:top w:val="none" w:sz="0" w:space="0" w:color="auto"/>
            <w:left w:val="none" w:sz="0" w:space="0" w:color="auto"/>
            <w:bottom w:val="none" w:sz="0" w:space="0" w:color="auto"/>
            <w:right w:val="none" w:sz="0" w:space="0" w:color="auto"/>
          </w:divBdr>
        </w:div>
        <w:div w:id="1729189484">
          <w:marLeft w:val="0"/>
          <w:marRight w:val="0"/>
          <w:marTop w:val="0"/>
          <w:marBottom w:val="101"/>
          <w:divBdr>
            <w:top w:val="none" w:sz="0" w:space="0" w:color="auto"/>
            <w:left w:val="none" w:sz="0" w:space="0" w:color="auto"/>
            <w:bottom w:val="none" w:sz="0" w:space="0" w:color="auto"/>
            <w:right w:val="none" w:sz="0" w:space="0" w:color="auto"/>
          </w:divBdr>
        </w:div>
        <w:div w:id="495729386">
          <w:marLeft w:val="864"/>
          <w:marRight w:val="0"/>
          <w:marTop w:val="0"/>
          <w:marBottom w:val="101"/>
          <w:divBdr>
            <w:top w:val="none" w:sz="0" w:space="0" w:color="auto"/>
            <w:left w:val="none" w:sz="0" w:space="0" w:color="auto"/>
            <w:bottom w:val="none" w:sz="0" w:space="0" w:color="auto"/>
            <w:right w:val="none" w:sz="0" w:space="0" w:color="auto"/>
          </w:divBdr>
        </w:div>
        <w:div w:id="967399720">
          <w:marLeft w:val="0"/>
          <w:marRight w:val="0"/>
          <w:marTop w:val="0"/>
          <w:marBottom w:val="101"/>
          <w:divBdr>
            <w:top w:val="none" w:sz="0" w:space="0" w:color="auto"/>
            <w:left w:val="none" w:sz="0" w:space="0" w:color="auto"/>
            <w:bottom w:val="none" w:sz="0" w:space="0" w:color="auto"/>
            <w:right w:val="none" w:sz="0" w:space="0" w:color="auto"/>
          </w:divBdr>
        </w:div>
        <w:div w:id="56630836">
          <w:marLeft w:val="864"/>
          <w:marRight w:val="0"/>
          <w:marTop w:val="0"/>
          <w:marBottom w:val="101"/>
          <w:divBdr>
            <w:top w:val="none" w:sz="0" w:space="0" w:color="auto"/>
            <w:left w:val="none" w:sz="0" w:space="0" w:color="auto"/>
            <w:bottom w:val="none" w:sz="0" w:space="0" w:color="auto"/>
            <w:right w:val="none" w:sz="0" w:space="0" w:color="auto"/>
          </w:divBdr>
        </w:div>
        <w:div w:id="854079819">
          <w:marLeft w:val="0"/>
          <w:marRight w:val="0"/>
          <w:marTop w:val="0"/>
          <w:marBottom w:val="101"/>
          <w:divBdr>
            <w:top w:val="none" w:sz="0" w:space="0" w:color="auto"/>
            <w:left w:val="none" w:sz="0" w:space="0" w:color="auto"/>
            <w:bottom w:val="none" w:sz="0" w:space="0" w:color="auto"/>
            <w:right w:val="none" w:sz="0" w:space="0" w:color="auto"/>
          </w:divBdr>
        </w:div>
        <w:div w:id="51931522">
          <w:marLeft w:val="864"/>
          <w:marRight w:val="0"/>
          <w:marTop w:val="0"/>
          <w:marBottom w:val="101"/>
          <w:divBdr>
            <w:top w:val="none" w:sz="0" w:space="0" w:color="auto"/>
            <w:left w:val="none" w:sz="0" w:space="0" w:color="auto"/>
            <w:bottom w:val="none" w:sz="0" w:space="0" w:color="auto"/>
            <w:right w:val="none" w:sz="0" w:space="0" w:color="auto"/>
          </w:divBdr>
        </w:div>
        <w:div w:id="1415779999">
          <w:marLeft w:val="1310"/>
          <w:marRight w:val="0"/>
          <w:marTop w:val="0"/>
          <w:marBottom w:val="101"/>
          <w:divBdr>
            <w:top w:val="none" w:sz="0" w:space="0" w:color="auto"/>
            <w:left w:val="none" w:sz="0" w:space="0" w:color="auto"/>
            <w:bottom w:val="none" w:sz="0" w:space="0" w:color="auto"/>
            <w:right w:val="none" w:sz="0" w:space="0" w:color="auto"/>
          </w:divBdr>
        </w:div>
        <w:div w:id="1418752101">
          <w:marLeft w:val="1310"/>
          <w:marRight w:val="0"/>
          <w:marTop w:val="0"/>
          <w:marBottom w:val="101"/>
          <w:divBdr>
            <w:top w:val="none" w:sz="0" w:space="0" w:color="auto"/>
            <w:left w:val="none" w:sz="0" w:space="0" w:color="auto"/>
            <w:bottom w:val="none" w:sz="0" w:space="0" w:color="auto"/>
            <w:right w:val="none" w:sz="0" w:space="0" w:color="auto"/>
          </w:divBdr>
        </w:div>
        <w:div w:id="77144916">
          <w:marLeft w:val="1310"/>
          <w:marRight w:val="0"/>
          <w:marTop w:val="0"/>
          <w:marBottom w:val="101"/>
          <w:divBdr>
            <w:top w:val="none" w:sz="0" w:space="0" w:color="auto"/>
            <w:left w:val="none" w:sz="0" w:space="0" w:color="auto"/>
            <w:bottom w:val="none" w:sz="0" w:space="0" w:color="auto"/>
            <w:right w:val="none" w:sz="0" w:space="0" w:color="auto"/>
          </w:divBdr>
        </w:div>
        <w:div w:id="1479885615">
          <w:marLeft w:val="1310"/>
          <w:marRight w:val="0"/>
          <w:marTop w:val="0"/>
          <w:marBottom w:val="101"/>
          <w:divBdr>
            <w:top w:val="none" w:sz="0" w:space="0" w:color="auto"/>
            <w:left w:val="none" w:sz="0" w:space="0" w:color="auto"/>
            <w:bottom w:val="none" w:sz="0" w:space="0" w:color="auto"/>
            <w:right w:val="none" w:sz="0" w:space="0" w:color="auto"/>
          </w:divBdr>
        </w:div>
        <w:div w:id="2020230315">
          <w:marLeft w:val="1310"/>
          <w:marRight w:val="0"/>
          <w:marTop w:val="0"/>
          <w:marBottom w:val="101"/>
          <w:divBdr>
            <w:top w:val="none" w:sz="0" w:space="0" w:color="auto"/>
            <w:left w:val="none" w:sz="0" w:space="0" w:color="auto"/>
            <w:bottom w:val="none" w:sz="0" w:space="0" w:color="auto"/>
            <w:right w:val="none" w:sz="0" w:space="0" w:color="auto"/>
          </w:divBdr>
        </w:div>
        <w:div w:id="2134521732">
          <w:marLeft w:val="1310"/>
          <w:marRight w:val="0"/>
          <w:marTop w:val="0"/>
          <w:marBottom w:val="101"/>
          <w:divBdr>
            <w:top w:val="none" w:sz="0" w:space="0" w:color="auto"/>
            <w:left w:val="none" w:sz="0" w:space="0" w:color="auto"/>
            <w:bottom w:val="none" w:sz="0" w:space="0" w:color="auto"/>
            <w:right w:val="none" w:sz="0" w:space="0" w:color="auto"/>
          </w:divBdr>
        </w:div>
        <w:div w:id="1264996685">
          <w:marLeft w:val="0"/>
          <w:marRight w:val="0"/>
          <w:marTop w:val="0"/>
          <w:marBottom w:val="101"/>
          <w:divBdr>
            <w:top w:val="none" w:sz="0" w:space="0" w:color="auto"/>
            <w:left w:val="none" w:sz="0" w:space="0" w:color="auto"/>
            <w:bottom w:val="none" w:sz="0" w:space="0" w:color="auto"/>
            <w:right w:val="none" w:sz="0" w:space="0" w:color="auto"/>
          </w:divBdr>
        </w:div>
        <w:div w:id="270355297">
          <w:marLeft w:val="0"/>
          <w:marRight w:val="0"/>
          <w:marTop w:val="0"/>
          <w:marBottom w:val="101"/>
          <w:divBdr>
            <w:top w:val="none" w:sz="0" w:space="0" w:color="auto"/>
            <w:left w:val="none" w:sz="0" w:space="0" w:color="auto"/>
            <w:bottom w:val="none" w:sz="0" w:space="0" w:color="auto"/>
            <w:right w:val="none" w:sz="0" w:space="0" w:color="auto"/>
          </w:divBdr>
        </w:div>
        <w:div w:id="2002924690">
          <w:marLeft w:val="864"/>
          <w:marRight w:val="0"/>
          <w:marTop w:val="0"/>
          <w:marBottom w:val="101"/>
          <w:divBdr>
            <w:top w:val="none" w:sz="0" w:space="0" w:color="auto"/>
            <w:left w:val="none" w:sz="0" w:space="0" w:color="auto"/>
            <w:bottom w:val="none" w:sz="0" w:space="0" w:color="auto"/>
            <w:right w:val="none" w:sz="0" w:space="0" w:color="auto"/>
          </w:divBdr>
        </w:div>
        <w:div w:id="1600526976">
          <w:marLeft w:val="864"/>
          <w:marRight w:val="0"/>
          <w:marTop w:val="0"/>
          <w:marBottom w:val="101"/>
          <w:divBdr>
            <w:top w:val="none" w:sz="0" w:space="0" w:color="auto"/>
            <w:left w:val="none" w:sz="0" w:space="0" w:color="auto"/>
            <w:bottom w:val="none" w:sz="0" w:space="0" w:color="auto"/>
            <w:right w:val="none" w:sz="0" w:space="0" w:color="auto"/>
          </w:divBdr>
        </w:div>
        <w:div w:id="549732730">
          <w:marLeft w:val="864"/>
          <w:marRight w:val="0"/>
          <w:marTop w:val="0"/>
          <w:marBottom w:val="101"/>
          <w:divBdr>
            <w:top w:val="none" w:sz="0" w:space="0" w:color="auto"/>
            <w:left w:val="none" w:sz="0" w:space="0" w:color="auto"/>
            <w:bottom w:val="none" w:sz="0" w:space="0" w:color="auto"/>
            <w:right w:val="none" w:sz="0" w:space="0" w:color="auto"/>
          </w:divBdr>
        </w:div>
        <w:div w:id="165900694">
          <w:marLeft w:val="0"/>
          <w:marRight w:val="0"/>
          <w:marTop w:val="0"/>
          <w:marBottom w:val="101"/>
          <w:divBdr>
            <w:top w:val="none" w:sz="0" w:space="0" w:color="auto"/>
            <w:left w:val="none" w:sz="0" w:space="0" w:color="auto"/>
            <w:bottom w:val="none" w:sz="0" w:space="0" w:color="auto"/>
            <w:right w:val="none" w:sz="0" w:space="0" w:color="auto"/>
          </w:divBdr>
        </w:div>
        <w:div w:id="901409136">
          <w:marLeft w:val="864"/>
          <w:marRight w:val="0"/>
          <w:marTop w:val="0"/>
          <w:marBottom w:val="101"/>
          <w:divBdr>
            <w:top w:val="none" w:sz="0" w:space="0" w:color="auto"/>
            <w:left w:val="none" w:sz="0" w:space="0" w:color="auto"/>
            <w:bottom w:val="none" w:sz="0" w:space="0" w:color="auto"/>
            <w:right w:val="none" w:sz="0" w:space="0" w:color="auto"/>
          </w:divBdr>
        </w:div>
        <w:div w:id="107242212">
          <w:marLeft w:val="1310"/>
          <w:marRight w:val="0"/>
          <w:marTop w:val="0"/>
          <w:marBottom w:val="101"/>
          <w:divBdr>
            <w:top w:val="none" w:sz="0" w:space="0" w:color="auto"/>
            <w:left w:val="none" w:sz="0" w:space="0" w:color="auto"/>
            <w:bottom w:val="none" w:sz="0" w:space="0" w:color="auto"/>
            <w:right w:val="none" w:sz="0" w:space="0" w:color="auto"/>
          </w:divBdr>
        </w:div>
        <w:div w:id="1919486331">
          <w:marLeft w:val="1310"/>
          <w:marRight w:val="0"/>
          <w:marTop w:val="0"/>
          <w:marBottom w:val="101"/>
          <w:divBdr>
            <w:top w:val="none" w:sz="0" w:space="0" w:color="auto"/>
            <w:left w:val="none" w:sz="0" w:space="0" w:color="auto"/>
            <w:bottom w:val="none" w:sz="0" w:space="0" w:color="auto"/>
            <w:right w:val="none" w:sz="0" w:space="0" w:color="auto"/>
          </w:divBdr>
        </w:div>
        <w:div w:id="1233349145">
          <w:marLeft w:val="1310"/>
          <w:marRight w:val="0"/>
          <w:marTop w:val="0"/>
          <w:marBottom w:val="101"/>
          <w:divBdr>
            <w:top w:val="none" w:sz="0" w:space="0" w:color="auto"/>
            <w:left w:val="none" w:sz="0" w:space="0" w:color="auto"/>
            <w:bottom w:val="none" w:sz="0" w:space="0" w:color="auto"/>
            <w:right w:val="none" w:sz="0" w:space="0" w:color="auto"/>
          </w:divBdr>
        </w:div>
        <w:div w:id="1995136129">
          <w:marLeft w:val="1310"/>
          <w:marRight w:val="0"/>
          <w:marTop w:val="0"/>
          <w:marBottom w:val="101"/>
          <w:divBdr>
            <w:top w:val="none" w:sz="0" w:space="0" w:color="auto"/>
            <w:left w:val="none" w:sz="0" w:space="0" w:color="auto"/>
            <w:bottom w:val="none" w:sz="0" w:space="0" w:color="auto"/>
            <w:right w:val="none" w:sz="0" w:space="0" w:color="auto"/>
          </w:divBdr>
        </w:div>
        <w:div w:id="1850680153">
          <w:marLeft w:val="864"/>
          <w:marRight w:val="0"/>
          <w:marTop w:val="0"/>
          <w:marBottom w:val="101"/>
          <w:divBdr>
            <w:top w:val="none" w:sz="0" w:space="0" w:color="auto"/>
            <w:left w:val="none" w:sz="0" w:space="0" w:color="auto"/>
            <w:bottom w:val="none" w:sz="0" w:space="0" w:color="auto"/>
            <w:right w:val="none" w:sz="0" w:space="0" w:color="auto"/>
          </w:divBdr>
        </w:div>
        <w:div w:id="497039740">
          <w:marLeft w:val="864"/>
          <w:marRight w:val="0"/>
          <w:marTop w:val="0"/>
          <w:marBottom w:val="101"/>
          <w:divBdr>
            <w:top w:val="none" w:sz="0" w:space="0" w:color="auto"/>
            <w:left w:val="none" w:sz="0" w:space="0" w:color="auto"/>
            <w:bottom w:val="none" w:sz="0" w:space="0" w:color="auto"/>
            <w:right w:val="none" w:sz="0" w:space="0" w:color="auto"/>
          </w:divBdr>
        </w:div>
        <w:div w:id="1551531292">
          <w:marLeft w:val="864"/>
          <w:marRight w:val="0"/>
          <w:marTop w:val="0"/>
          <w:marBottom w:val="101"/>
          <w:divBdr>
            <w:top w:val="none" w:sz="0" w:space="0" w:color="auto"/>
            <w:left w:val="none" w:sz="0" w:space="0" w:color="auto"/>
            <w:bottom w:val="none" w:sz="0" w:space="0" w:color="auto"/>
            <w:right w:val="none" w:sz="0" w:space="0" w:color="auto"/>
          </w:divBdr>
        </w:div>
        <w:div w:id="1280799499">
          <w:marLeft w:val="864"/>
          <w:marRight w:val="0"/>
          <w:marTop w:val="0"/>
          <w:marBottom w:val="101"/>
          <w:divBdr>
            <w:top w:val="none" w:sz="0" w:space="0" w:color="auto"/>
            <w:left w:val="none" w:sz="0" w:space="0" w:color="auto"/>
            <w:bottom w:val="none" w:sz="0" w:space="0" w:color="auto"/>
            <w:right w:val="none" w:sz="0" w:space="0" w:color="auto"/>
          </w:divBdr>
        </w:div>
        <w:div w:id="302777980">
          <w:marLeft w:val="0"/>
          <w:marRight w:val="0"/>
          <w:marTop w:val="0"/>
          <w:marBottom w:val="101"/>
          <w:divBdr>
            <w:top w:val="none" w:sz="0" w:space="0" w:color="auto"/>
            <w:left w:val="none" w:sz="0" w:space="0" w:color="auto"/>
            <w:bottom w:val="none" w:sz="0" w:space="0" w:color="auto"/>
            <w:right w:val="none" w:sz="0" w:space="0" w:color="auto"/>
          </w:divBdr>
        </w:div>
        <w:div w:id="1412847066">
          <w:marLeft w:val="864"/>
          <w:marRight w:val="0"/>
          <w:marTop w:val="0"/>
          <w:marBottom w:val="101"/>
          <w:divBdr>
            <w:top w:val="none" w:sz="0" w:space="0" w:color="auto"/>
            <w:left w:val="none" w:sz="0" w:space="0" w:color="auto"/>
            <w:bottom w:val="none" w:sz="0" w:space="0" w:color="auto"/>
            <w:right w:val="none" w:sz="0" w:space="0" w:color="auto"/>
          </w:divBdr>
        </w:div>
        <w:div w:id="548417434">
          <w:marLeft w:val="0"/>
          <w:marRight w:val="0"/>
          <w:marTop w:val="0"/>
          <w:marBottom w:val="101"/>
          <w:divBdr>
            <w:top w:val="none" w:sz="0" w:space="0" w:color="auto"/>
            <w:left w:val="none" w:sz="0" w:space="0" w:color="auto"/>
            <w:bottom w:val="none" w:sz="0" w:space="0" w:color="auto"/>
            <w:right w:val="none" w:sz="0" w:space="0" w:color="auto"/>
          </w:divBdr>
        </w:div>
        <w:div w:id="789737328">
          <w:marLeft w:val="864"/>
          <w:marRight w:val="0"/>
          <w:marTop w:val="0"/>
          <w:marBottom w:val="101"/>
          <w:divBdr>
            <w:top w:val="none" w:sz="0" w:space="0" w:color="auto"/>
            <w:left w:val="none" w:sz="0" w:space="0" w:color="auto"/>
            <w:bottom w:val="none" w:sz="0" w:space="0" w:color="auto"/>
            <w:right w:val="none" w:sz="0" w:space="0" w:color="auto"/>
          </w:divBdr>
        </w:div>
        <w:div w:id="929388644">
          <w:marLeft w:val="0"/>
          <w:marRight w:val="0"/>
          <w:marTop w:val="0"/>
          <w:marBottom w:val="101"/>
          <w:divBdr>
            <w:top w:val="none" w:sz="0" w:space="0" w:color="auto"/>
            <w:left w:val="none" w:sz="0" w:space="0" w:color="auto"/>
            <w:bottom w:val="none" w:sz="0" w:space="0" w:color="auto"/>
            <w:right w:val="none" w:sz="0" w:space="0" w:color="auto"/>
          </w:divBdr>
        </w:div>
        <w:div w:id="642007747">
          <w:marLeft w:val="864"/>
          <w:marRight w:val="0"/>
          <w:marTop w:val="0"/>
          <w:marBottom w:val="101"/>
          <w:divBdr>
            <w:top w:val="none" w:sz="0" w:space="0" w:color="auto"/>
            <w:left w:val="none" w:sz="0" w:space="0" w:color="auto"/>
            <w:bottom w:val="none" w:sz="0" w:space="0" w:color="auto"/>
            <w:right w:val="none" w:sz="0" w:space="0" w:color="auto"/>
          </w:divBdr>
        </w:div>
        <w:div w:id="1491017583">
          <w:marLeft w:val="1310"/>
          <w:marRight w:val="0"/>
          <w:marTop w:val="0"/>
          <w:marBottom w:val="101"/>
          <w:divBdr>
            <w:top w:val="none" w:sz="0" w:space="0" w:color="auto"/>
            <w:left w:val="none" w:sz="0" w:space="0" w:color="auto"/>
            <w:bottom w:val="none" w:sz="0" w:space="0" w:color="auto"/>
            <w:right w:val="none" w:sz="0" w:space="0" w:color="auto"/>
          </w:divBdr>
        </w:div>
        <w:div w:id="143746721">
          <w:marLeft w:val="1310"/>
          <w:marRight w:val="0"/>
          <w:marTop w:val="0"/>
          <w:marBottom w:val="101"/>
          <w:divBdr>
            <w:top w:val="none" w:sz="0" w:space="0" w:color="auto"/>
            <w:left w:val="none" w:sz="0" w:space="0" w:color="auto"/>
            <w:bottom w:val="none" w:sz="0" w:space="0" w:color="auto"/>
            <w:right w:val="none" w:sz="0" w:space="0" w:color="auto"/>
          </w:divBdr>
        </w:div>
        <w:div w:id="1224373010">
          <w:marLeft w:val="1310"/>
          <w:marRight w:val="0"/>
          <w:marTop w:val="0"/>
          <w:marBottom w:val="101"/>
          <w:divBdr>
            <w:top w:val="none" w:sz="0" w:space="0" w:color="auto"/>
            <w:left w:val="none" w:sz="0" w:space="0" w:color="auto"/>
            <w:bottom w:val="none" w:sz="0" w:space="0" w:color="auto"/>
            <w:right w:val="none" w:sz="0" w:space="0" w:color="auto"/>
          </w:divBdr>
        </w:div>
        <w:div w:id="318267362">
          <w:marLeft w:val="1310"/>
          <w:marRight w:val="0"/>
          <w:marTop w:val="0"/>
          <w:marBottom w:val="101"/>
          <w:divBdr>
            <w:top w:val="none" w:sz="0" w:space="0" w:color="auto"/>
            <w:left w:val="none" w:sz="0" w:space="0" w:color="auto"/>
            <w:bottom w:val="none" w:sz="0" w:space="0" w:color="auto"/>
            <w:right w:val="none" w:sz="0" w:space="0" w:color="auto"/>
          </w:divBdr>
        </w:div>
        <w:div w:id="111437378">
          <w:marLeft w:val="0"/>
          <w:marRight w:val="0"/>
          <w:marTop w:val="0"/>
          <w:marBottom w:val="101"/>
          <w:divBdr>
            <w:top w:val="none" w:sz="0" w:space="0" w:color="auto"/>
            <w:left w:val="none" w:sz="0" w:space="0" w:color="auto"/>
            <w:bottom w:val="none" w:sz="0" w:space="0" w:color="auto"/>
            <w:right w:val="none" w:sz="0" w:space="0" w:color="auto"/>
          </w:divBdr>
        </w:div>
        <w:div w:id="544951452">
          <w:marLeft w:val="864"/>
          <w:marRight w:val="0"/>
          <w:marTop w:val="0"/>
          <w:marBottom w:val="101"/>
          <w:divBdr>
            <w:top w:val="none" w:sz="0" w:space="0" w:color="auto"/>
            <w:left w:val="none" w:sz="0" w:space="0" w:color="auto"/>
            <w:bottom w:val="none" w:sz="0" w:space="0" w:color="auto"/>
            <w:right w:val="none" w:sz="0" w:space="0" w:color="auto"/>
          </w:divBdr>
        </w:div>
        <w:div w:id="373621502">
          <w:marLeft w:val="0"/>
          <w:marRight w:val="0"/>
          <w:marTop w:val="0"/>
          <w:marBottom w:val="101"/>
          <w:divBdr>
            <w:top w:val="none" w:sz="0" w:space="0" w:color="auto"/>
            <w:left w:val="none" w:sz="0" w:space="0" w:color="auto"/>
            <w:bottom w:val="none" w:sz="0" w:space="0" w:color="auto"/>
            <w:right w:val="none" w:sz="0" w:space="0" w:color="auto"/>
          </w:divBdr>
        </w:div>
        <w:div w:id="1673483494">
          <w:marLeft w:val="864"/>
          <w:marRight w:val="0"/>
          <w:marTop w:val="0"/>
          <w:marBottom w:val="101"/>
          <w:divBdr>
            <w:top w:val="none" w:sz="0" w:space="0" w:color="auto"/>
            <w:left w:val="none" w:sz="0" w:space="0" w:color="auto"/>
            <w:bottom w:val="none" w:sz="0" w:space="0" w:color="auto"/>
            <w:right w:val="none" w:sz="0" w:space="0" w:color="auto"/>
          </w:divBdr>
        </w:div>
        <w:div w:id="504441653">
          <w:marLeft w:val="864"/>
          <w:marRight w:val="0"/>
          <w:marTop w:val="0"/>
          <w:marBottom w:val="101"/>
          <w:divBdr>
            <w:top w:val="none" w:sz="0" w:space="0" w:color="auto"/>
            <w:left w:val="none" w:sz="0" w:space="0" w:color="auto"/>
            <w:bottom w:val="none" w:sz="0" w:space="0" w:color="auto"/>
            <w:right w:val="none" w:sz="0" w:space="0" w:color="auto"/>
          </w:divBdr>
        </w:div>
        <w:div w:id="638341288">
          <w:marLeft w:val="0"/>
          <w:marRight w:val="0"/>
          <w:marTop w:val="0"/>
          <w:marBottom w:val="101"/>
          <w:divBdr>
            <w:top w:val="none" w:sz="0" w:space="0" w:color="auto"/>
            <w:left w:val="none" w:sz="0" w:space="0" w:color="auto"/>
            <w:bottom w:val="none" w:sz="0" w:space="0" w:color="auto"/>
            <w:right w:val="none" w:sz="0" w:space="0" w:color="auto"/>
          </w:divBdr>
        </w:div>
        <w:div w:id="1848863809">
          <w:marLeft w:val="864"/>
          <w:marRight w:val="0"/>
          <w:marTop w:val="0"/>
          <w:marBottom w:val="101"/>
          <w:divBdr>
            <w:top w:val="none" w:sz="0" w:space="0" w:color="auto"/>
            <w:left w:val="none" w:sz="0" w:space="0" w:color="auto"/>
            <w:bottom w:val="none" w:sz="0" w:space="0" w:color="auto"/>
            <w:right w:val="none" w:sz="0" w:space="0" w:color="auto"/>
          </w:divBdr>
        </w:div>
        <w:div w:id="550964577">
          <w:marLeft w:val="864"/>
          <w:marRight w:val="0"/>
          <w:marTop w:val="0"/>
          <w:marBottom w:val="101"/>
          <w:divBdr>
            <w:top w:val="none" w:sz="0" w:space="0" w:color="auto"/>
            <w:left w:val="none" w:sz="0" w:space="0" w:color="auto"/>
            <w:bottom w:val="none" w:sz="0" w:space="0" w:color="auto"/>
            <w:right w:val="none" w:sz="0" w:space="0" w:color="auto"/>
          </w:divBdr>
        </w:div>
        <w:div w:id="1568952886">
          <w:marLeft w:val="0"/>
          <w:marRight w:val="0"/>
          <w:marTop w:val="0"/>
          <w:marBottom w:val="101"/>
          <w:divBdr>
            <w:top w:val="none" w:sz="0" w:space="0" w:color="auto"/>
            <w:left w:val="none" w:sz="0" w:space="0" w:color="auto"/>
            <w:bottom w:val="none" w:sz="0" w:space="0" w:color="auto"/>
            <w:right w:val="none" w:sz="0" w:space="0" w:color="auto"/>
          </w:divBdr>
        </w:div>
        <w:div w:id="208689748">
          <w:marLeft w:val="864"/>
          <w:marRight w:val="0"/>
          <w:marTop w:val="0"/>
          <w:marBottom w:val="101"/>
          <w:divBdr>
            <w:top w:val="none" w:sz="0" w:space="0" w:color="auto"/>
            <w:left w:val="none" w:sz="0" w:space="0" w:color="auto"/>
            <w:bottom w:val="none" w:sz="0" w:space="0" w:color="auto"/>
            <w:right w:val="none" w:sz="0" w:space="0" w:color="auto"/>
          </w:divBdr>
        </w:div>
        <w:div w:id="1637221990">
          <w:marLeft w:val="0"/>
          <w:marRight w:val="0"/>
          <w:marTop w:val="0"/>
          <w:marBottom w:val="101"/>
          <w:divBdr>
            <w:top w:val="none" w:sz="0" w:space="0" w:color="auto"/>
            <w:left w:val="none" w:sz="0" w:space="0" w:color="auto"/>
            <w:bottom w:val="none" w:sz="0" w:space="0" w:color="auto"/>
            <w:right w:val="none" w:sz="0" w:space="0" w:color="auto"/>
          </w:divBdr>
        </w:div>
        <w:div w:id="2119443519">
          <w:marLeft w:val="864"/>
          <w:marRight w:val="0"/>
          <w:marTop w:val="0"/>
          <w:marBottom w:val="101"/>
          <w:divBdr>
            <w:top w:val="none" w:sz="0" w:space="0" w:color="auto"/>
            <w:left w:val="none" w:sz="0" w:space="0" w:color="auto"/>
            <w:bottom w:val="none" w:sz="0" w:space="0" w:color="auto"/>
            <w:right w:val="none" w:sz="0" w:space="0" w:color="auto"/>
          </w:divBdr>
        </w:div>
        <w:div w:id="659381594">
          <w:marLeft w:val="864"/>
          <w:marRight w:val="0"/>
          <w:marTop w:val="0"/>
          <w:marBottom w:val="101"/>
          <w:divBdr>
            <w:top w:val="none" w:sz="0" w:space="0" w:color="auto"/>
            <w:left w:val="none" w:sz="0" w:space="0" w:color="auto"/>
            <w:bottom w:val="none" w:sz="0" w:space="0" w:color="auto"/>
            <w:right w:val="none" w:sz="0" w:space="0" w:color="auto"/>
          </w:divBdr>
        </w:div>
        <w:div w:id="1630822689">
          <w:marLeft w:val="1310"/>
          <w:marRight w:val="0"/>
          <w:marTop w:val="0"/>
          <w:marBottom w:val="101"/>
          <w:divBdr>
            <w:top w:val="none" w:sz="0" w:space="0" w:color="auto"/>
            <w:left w:val="none" w:sz="0" w:space="0" w:color="auto"/>
            <w:bottom w:val="none" w:sz="0" w:space="0" w:color="auto"/>
            <w:right w:val="none" w:sz="0" w:space="0" w:color="auto"/>
          </w:divBdr>
        </w:div>
        <w:div w:id="1321620431">
          <w:marLeft w:val="1310"/>
          <w:marRight w:val="0"/>
          <w:marTop w:val="0"/>
          <w:marBottom w:val="101"/>
          <w:divBdr>
            <w:top w:val="none" w:sz="0" w:space="0" w:color="auto"/>
            <w:left w:val="none" w:sz="0" w:space="0" w:color="auto"/>
            <w:bottom w:val="none" w:sz="0" w:space="0" w:color="auto"/>
            <w:right w:val="none" w:sz="0" w:space="0" w:color="auto"/>
          </w:divBdr>
        </w:div>
        <w:div w:id="1349672290">
          <w:marLeft w:val="1310"/>
          <w:marRight w:val="0"/>
          <w:marTop w:val="0"/>
          <w:marBottom w:val="101"/>
          <w:divBdr>
            <w:top w:val="none" w:sz="0" w:space="0" w:color="auto"/>
            <w:left w:val="none" w:sz="0" w:space="0" w:color="auto"/>
            <w:bottom w:val="none" w:sz="0" w:space="0" w:color="auto"/>
            <w:right w:val="none" w:sz="0" w:space="0" w:color="auto"/>
          </w:divBdr>
        </w:div>
        <w:div w:id="374039243">
          <w:marLeft w:val="1310"/>
          <w:marRight w:val="0"/>
          <w:marTop w:val="0"/>
          <w:marBottom w:val="101"/>
          <w:divBdr>
            <w:top w:val="none" w:sz="0" w:space="0" w:color="auto"/>
            <w:left w:val="none" w:sz="0" w:space="0" w:color="auto"/>
            <w:bottom w:val="none" w:sz="0" w:space="0" w:color="auto"/>
            <w:right w:val="none" w:sz="0" w:space="0" w:color="auto"/>
          </w:divBdr>
        </w:div>
        <w:div w:id="407267811">
          <w:marLeft w:val="864"/>
          <w:marRight w:val="0"/>
          <w:marTop w:val="0"/>
          <w:marBottom w:val="101"/>
          <w:divBdr>
            <w:top w:val="none" w:sz="0" w:space="0" w:color="auto"/>
            <w:left w:val="none" w:sz="0" w:space="0" w:color="auto"/>
            <w:bottom w:val="none" w:sz="0" w:space="0" w:color="auto"/>
            <w:right w:val="none" w:sz="0" w:space="0" w:color="auto"/>
          </w:divBdr>
        </w:div>
        <w:div w:id="1047530443">
          <w:marLeft w:val="864"/>
          <w:marRight w:val="0"/>
          <w:marTop w:val="0"/>
          <w:marBottom w:val="101"/>
          <w:divBdr>
            <w:top w:val="none" w:sz="0" w:space="0" w:color="auto"/>
            <w:left w:val="none" w:sz="0" w:space="0" w:color="auto"/>
            <w:bottom w:val="none" w:sz="0" w:space="0" w:color="auto"/>
            <w:right w:val="none" w:sz="0" w:space="0" w:color="auto"/>
          </w:divBdr>
        </w:div>
        <w:div w:id="2070570302">
          <w:marLeft w:val="864"/>
          <w:marRight w:val="0"/>
          <w:marTop w:val="0"/>
          <w:marBottom w:val="101"/>
          <w:divBdr>
            <w:top w:val="none" w:sz="0" w:space="0" w:color="auto"/>
            <w:left w:val="none" w:sz="0" w:space="0" w:color="auto"/>
            <w:bottom w:val="none" w:sz="0" w:space="0" w:color="auto"/>
            <w:right w:val="none" w:sz="0" w:space="0" w:color="auto"/>
          </w:divBdr>
        </w:div>
        <w:div w:id="705720480">
          <w:marLeft w:val="864"/>
          <w:marRight w:val="0"/>
          <w:marTop w:val="0"/>
          <w:marBottom w:val="101"/>
          <w:divBdr>
            <w:top w:val="none" w:sz="0" w:space="0" w:color="auto"/>
            <w:left w:val="none" w:sz="0" w:space="0" w:color="auto"/>
            <w:bottom w:val="none" w:sz="0" w:space="0" w:color="auto"/>
            <w:right w:val="none" w:sz="0" w:space="0" w:color="auto"/>
          </w:divBdr>
        </w:div>
        <w:div w:id="1201354527">
          <w:marLeft w:val="0"/>
          <w:marRight w:val="0"/>
          <w:marTop w:val="0"/>
          <w:marBottom w:val="101"/>
          <w:divBdr>
            <w:top w:val="none" w:sz="0" w:space="0" w:color="auto"/>
            <w:left w:val="none" w:sz="0" w:space="0" w:color="auto"/>
            <w:bottom w:val="none" w:sz="0" w:space="0" w:color="auto"/>
            <w:right w:val="none" w:sz="0" w:space="0" w:color="auto"/>
          </w:divBdr>
        </w:div>
        <w:div w:id="1168793652">
          <w:marLeft w:val="864"/>
          <w:marRight w:val="0"/>
          <w:marTop w:val="0"/>
          <w:marBottom w:val="101"/>
          <w:divBdr>
            <w:top w:val="none" w:sz="0" w:space="0" w:color="auto"/>
            <w:left w:val="none" w:sz="0" w:space="0" w:color="auto"/>
            <w:bottom w:val="none" w:sz="0" w:space="0" w:color="auto"/>
            <w:right w:val="none" w:sz="0" w:space="0" w:color="auto"/>
          </w:divBdr>
        </w:div>
        <w:div w:id="1477799449">
          <w:marLeft w:val="0"/>
          <w:marRight w:val="0"/>
          <w:marTop w:val="0"/>
          <w:marBottom w:val="101"/>
          <w:divBdr>
            <w:top w:val="none" w:sz="0" w:space="0" w:color="auto"/>
            <w:left w:val="none" w:sz="0" w:space="0" w:color="auto"/>
            <w:bottom w:val="none" w:sz="0" w:space="0" w:color="auto"/>
            <w:right w:val="none" w:sz="0" w:space="0" w:color="auto"/>
          </w:divBdr>
        </w:div>
        <w:div w:id="1867061033">
          <w:marLeft w:val="864"/>
          <w:marRight w:val="0"/>
          <w:marTop w:val="0"/>
          <w:marBottom w:val="101"/>
          <w:divBdr>
            <w:top w:val="none" w:sz="0" w:space="0" w:color="auto"/>
            <w:left w:val="none" w:sz="0" w:space="0" w:color="auto"/>
            <w:bottom w:val="none" w:sz="0" w:space="0" w:color="auto"/>
            <w:right w:val="none" w:sz="0" w:space="0" w:color="auto"/>
          </w:divBdr>
        </w:div>
        <w:div w:id="535197691">
          <w:marLeft w:val="864"/>
          <w:marRight w:val="0"/>
          <w:marTop w:val="0"/>
          <w:marBottom w:val="101"/>
          <w:divBdr>
            <w:top w:val="none" w:sz="0" w:space="0" w:color="auto"/>
            <w:left w:val="none" w:sz="0" w:space="0" w:color="auto"/>
            <w:bottom w:val="none" w:sz="0" w:space="0" w:color="auto"/>
            <w:right w:val="none" w:sz="0" w:space="0" w:color="auto"/>
          </w:divBdr>
        </w:div>
        <w:div w:id="1936009734">
          <w:marLeft w:val="864"/>
          <w:marRight w:val="0"/>
          <w:marTop w:val="0"/>
          <w:marBottom w:val="101"/>
          <w:divBdr>
            <w:top w:val="none" w:sz="0" w:space="0" w:color="auto"/>
            <w:left w:val="none" w:sz="0" w:space="0" w:color="auto"/>
            <w:bottom w:val="none" w:sz="0" w:space="0" w:color="auto"/>
            <w:right w:val="none" w:sz="0" w:space="0" w:color="auto"/>
          </w:divBdr>
        </w:div>
        <w:div w:id="754740332">
          <w:marLeft w:val="864"/>
          <w:marRight w:val="0"/>
          <w:marTop w:val="0"/>
          <w:marBottom w:val="101"/>
          <w:divBdr>
            <w:top w:val="none" w:sz="0" w:space="0" w:color="auto"/>
            <w:left w:val="none" w:sz="0" w:space="0" w:color="auto"/>
            <w:bottom w:val="none" w:sz="0" w:space="0" w:color="auto"/>
            <w:right w:val="none" w:sz="0" w:space="0" w:color="auto"/>
          </w:divBdr>
        </w:div>
        <w:div w:id="494300893">
          <w:marLeft w:val="864"/>
          <w:marRight w:val="0"/>
          <w:marTop w:val="0"/>
          <w:marBottom w:val="101"/>
          <w:divBdr>
            <w:top w:val="none" w:sz="0" w:space="0" w:color="auto"/>
            <w:left w:val="none" w:sz="0" w:space="0" w:color="auto"/>
            <w:bottom w:val="none" w:sz="0" w:space="0" w:color="auto"/>
            <w:right w:val="none" w:sz="0" w:space="0" w:color="auto"/>
          </w:divBdr>
        </w:div>
        <w:div w:id="810639430">
          <w:marLeft w:val="864"/>
          <w:marRight w:val="0"/>
          <w:marTop w:val="0"/>
          <w:marBottom w:val="101"/>
          <w:divBdr>
            <w:top w:val="none" w:sz="0" w:space="0" w:color="auto"/>
            <w:left w:val="none" w:sz="0" w:space="0" w:color="auto"/>
            <w:bottom w:val="none" w:sz="0" w:space="0" w:color="auto"/>
            <w:right w:val="none" w:sz="0" w:space="0" w:color="auto"/>
          </w:divBdr>
        </w:div>
        <w:div w:id="49690698">
          <w:marLeft w:val="864"/>
          <w:marRight w:val="0"/>
          <w:marTop w:val="0"/>
          <w:marBottom w:val="101"/>
          <w:divBdr>
            <w:top w:val="none" w:sz="0" w:space="0" w:color="auto"/>
            <w:left w:val="none" w:sz="0" w:space="0" w:color="auto"/>
            <w:bottom w:val="none" w:sz="0" w:space="0" w:color="auto"/>
            <w:right w:val="none" w:sz="0" w:space="0" w:color="auto"/>
          </w:divBdr>
        </w:div>
        <w:div w:id="249168251">
          <w:marLeft w:val="0"/>
          <w:marRight w:val="0"/>
          <w:marTop w:val="0"/>
          <w:marBottom w:val="101"/>
          <w:divBdr>
            <w:top w:val="none" w:sz="0" w:space="0" w:color="auto"/>
            <w:left w:val="none" w:sz="0" w:space="0" w:color="auto"/>
            <w:bottom w:val="none" w:sz="0" w:space="0" w:color="auto"/>
            <w:right w:val="none" w:sz="0" w:space="0" w:color="auto"/>
          </w:divBdr>
        </w:div>
        <w:div w:id="1321032673">
          <w:marLeft w:val="864"/>
          <w:marRight w:val="0"/>
          <w:marTop w:val="0"/>
          <w:marBottom w:val="101"/>
          <w:divBdr>
            <w:top w:val="none" w:sz="0" w:space="0" w:color="auto"/>
            <w:left w:val="none" w:sz="0" w:space="0" w:color="auto"/>
            <w:bottom w:val="none" w:sz="0" w:space="0" w:color="auto"/>
            <w:right w:val="none" w:sz="0" w:space="0" w:color="auto"/>
          </w:divBdr>
        </w:div>
        <w:div w:id="2003972475">
          <w:marLeft w:val="0"/>
          <w:marRight w:val="0"/>
          <w:marTop w:val="0"/>
          <w:marBottom w:val="101"/>
          <w:divBdr>
            <w:top w:val="none" w:sz="0" w:space="0" w:color="auto"/>
            <w:left w:val="none" w:sz="0" w:space="0" w:color="auto"/>
            <w:bottom w:val="none" w:sz="0" w:space="0" w:color="auto"/>
            <w:right w:val="none" w:sz="0" w:space="0" w:color="auto"/>
          </w:divBdr>
        </w:div>
        <w:div w:id="1081754858">
          <w:marLeft w:val="0"/>
          <w:marRight w:val="0"/>
          <w:marTop w:val="0"/>
          <w:marBottom w:val="101"/>
          <w:divBdr>
            <w:top w:val="none" w:sz="0" w:space="0" w:color="auto"/>
            <w:left w:val="none" w:sz="0" w:space="0" w:color="auto"/>
            <w:bottom w:val="none" w:sz="0" w:space="0" w:color="auto"/>
            <w:right w:val="none" w:sz="0" w:space="0" w:color="auto"/>
          </w:divBdr>
        </w:div>
        <w:div w:id="1820726326">
          <w:marLeft w:val="864"/>
          <w:marRight w:val="0"/>
          <w:marTop w:val="0"/>
          <w:marBottom w:val="101"/>
          <w:divBdr>
            <w:top w:val="none" w:sz="0" w:space="0" w:color="auto"/>
            <w:left w:val="none" w:sz="0" w:space="0" w:color="auto"/>
            <w:bottom w:val="none" w:sz="0" w:space="0" w:color="auto"/>
            <w:right w:val="none" w:sz="0" w:space="0" w:color="auto"/>
          </w:divBdr>
        </w:div>
        <w:div w:id="1598709048">
          <w:marLeft w:val="1310"/>
          <w:marRight w:val="0"/>
          <w:marTop w:val="0"/>
          <w:marBottom w:val="101"/>
          <w:divBdr>
            <w:top w:val="none" w:sz="0" w:space="0" w:color="auto"/>
            <w:left w:val="none" w:sz="0" w:space="0" w:color="auto"/>
            <w:bottom w:val="none" w:sz="0" w:space="0" w:color="auto"/>
            <w:right w:val="none" w:sz="0" w:space="0" w:color="auto"/>
          </w:divBdr>
        </w:div>
        <w:div w:id="1138842057">
          <w:marLeft w:val="1310"/>
          <w:marRight w:val="0"/>
          <w:marTop w:val="0"/>
          <w:marBottom w:val="101"/>
          <w:divBdr>
            <w:top w:val="none" w:sz="0" w:space="0" w:color="auto"/>
            <w:left w:val="none" w:sz="0" w:space="0" w:color="auto"/>
            <w:bottom w:val="none" w:sz="0" w:space="0" w:color="auto"/>
            <w:right w:val="none" w:sz="0" w:space="0" w:color="auto"/>
          </w:divBdr>
        </w:div>
        <w:div w:id="545026718">
          <w:marLeft w:val="1310"/>
          <w:marRight w:val="0"/>
          <w:marTop w:val="0"/>
          <w:marBottom w:val="101"/>
          <w:divBdr>
            <w:top w:val="none" w:sz="0" w:space="0" w:color="auto"/>
            <w:left w:val="none" w:sz="0" w:space="0" w:color="auto"/>
            <w:bottom w:val="none" w:sz="0" w:space="0" w:color="auto"/>
            <w:right w:val="none" w:sz="0" w:space="0" w:color="auto"/>
          </w:divBdr>
        </w:div>
        <w:div w:id="893157349">
          <w:marLeft w:val="864"/>
          <w:marRight w:val="0"/>
          <w:marTop w:val="0"/>
          <w:marBottom w:val="101"/>
          <w:divBdr>
            <w:top w:val="none" w:sz="0" w:space="0" w:color="auto"/>
            <w:left w:val="none" w:sz="0" w:space="0" w:color="auto"/>
            <w:bottom w:val="none" w:sz="0" w:space="0" w:color="auto"/>
            <w:right w:val="none" w:sz="0" w:space="0" w:color="auto"/>
          </w:divBdr>
        </w:div>
        <w:div w:id="588268155">
          <w:marLeft w:val="0"/>
          <w:marRight w:val="0"/>
          <w:marTop w:val="0"/>
          <w:marBottom w:val="101"/>
          <w:divBdr>
            <w:top w:val="none" w:sz="0" w:space="0" w:color="auto"/>
            <w:left w:val="none" w:sz="0" w:space="0" w:color="auto"/>
            <w:bottom w:val="none" w:sz="0" w:space="0" w:color="auto"/>
            <w:right w:val="none" w:sz="0" w:space="0" w:color="auto"/>
          </w:divBdr>
        </w:div>
        <w:div w:id="2087797653">
          <w:marLeft w:val="864"/>
          <w:marRight w:val="0"/>
          <w:marTop w:val="0"/>
          <w:marBottom w:val="101"/>
          <w:divBdr>
            <w:top w:val="none" w:sz="0" w:space="0" w:color="auto"/>
            <w:left w:val="none" w:sz="0" w:space="0" w:color="auto"/>
            <w:bottom w:val="none" w:sz="0" w:space="0" w:color="auto"/>
            <w:right w:val="none" w:sz="0" w:space="0" w:color="auto"/>
          </w:divBdr>
        </w:div>
        <w:div w:id="1257785616">
          <w:marLeft w:val="864"/>
          <w:marRight w:val="0"/>
          <w:marTop w:val="0"/>
          <w:marBottom w:val="101"/>
          <w:divBdr>
            <w:top w:val="none" w:sz="0" w:space="0" w:color="auto"/>
            <w:left w:val="none" w:sz="0" w:space="0" w:color="auto"/>
            <w:bottom w:val="none" w:sz="0" w:space="0" w:color="auto"/>
            <w:right w:val="none" w:sz="0" w:space="0" w:color="auto"/>
          </w:divBdr>
        </w:div>
        <w:div w:id="2095589296">
          <w:marLeft w:val="864"/>
          <w:marRight w:val="0"/>
          <w:marTop w:val="0"/>
          <w:marBottom w:val="101"/>
          <w:divBdr>
            <w:top w:val="none" w:sz="0" w:space="0" w:color="auto"/>
            <w:left w:val="none" w:sz="0" w:space="0" w:color="auto"/>
            <w:bottom w:val="none" w:sz="0" w:space="0" w:color="auto"/>
            <w:right w:val="none" w:sz="0" w:space="0" w:color="auto"/>
          </w:divBdr>
        </w:div>
        <w:div w:id="704645951">
          <w:marLeft w:val="0"/>
          <w:marRight w:val="0"/>
          <w:marTop w:val="0"/>
          <w:marBottom w:val="101"/>
          <w:divBdr>
            <w:top w:val="none" w:sz="0" w:space="0" w:color="auto"/>
            <w:left w:val="none" w:sz="0" w:space="0" w:color="auto"/>
            <w:bottom w:val="none" w:sz="0" w:space="0" w:color="auto"/>
            <w:right w:val="none" w:sz="0" w:space="0" w:color="auto"/>
          </w:divBdr>
        </w:div>
        <w:div w:id="143130698">
          <w:marLeft w:val="864"/>
          <w:marRight w:val="0"/>
          <w:marTop w:val="0"/>
          <w:marBottom w:val="101"/>
          <w:divBdr>
            <w:top w:val="none" w:sz="0" w:space="0" w:color="auto"/>
            <w:left w:val="none" w:sz="0" w:space="0" w:color="auto"/>
            <w:bottom w:val="none" w:sz="0" w:space="0" w:color="auto"/>
            <w:right w:val="none" w:sz="0" w:space="0" w:color="auto"/>
          </w:divBdr>
        </w:div>
        <w:div w:id="402603391">
          <w:marLeft w:val="1310"/>
          <w:marRight w:val="0"/>
          <w:marTop w:val="0"/>
          <w:marBottom w:val="101"/>
          <w:divBdr>
            <w:top w:val="none" w:sz="0" w:space="0" w:color="auto"/>
            <w:left w:val="none" w:sz="0" w:space="0" w:color="auto"/>
            <w:bottom w:val="none" w:sz="0" w:space="0" w:color="auto"/>
            <w:right w:val="none" w:sz="0" w:space="0" w:color="auto"/>
          </w:divBdr>
        </w:div>
        <w:div w:id="1256013234">
          <w:marLeft w:val="1310"/>
          <w:marRight w:val="0"/>
          <w:marTop w:val="0"/>
          <w:marBottom w:val="101"/>
          <w:divBdr>
            <w:top w:val="none" w:sz="0" w:space="0" w:color="auto"/>
            <w:left w:val="none" w:sz="0" w:space="0" w:color="auto"/>
            <w:bottom w:val="none" w:sz="0" w:space="0" w:color="auto"/>
            <w:right w:val="none" w:sz="0" w:space="0" w:color="auto"/>
          </w:divBdr>
        </w:div>
        <w:div w:id="1704861719">
          <w:marLeft w:val="1310"/>
          <w:marRight w:val="0"/>
          <w:marTop w:val="0"/>
          <w:marBottom w:val="101"/>
          <w:divBdr>
            <w:top w:val="none" w:sz="0" w:space="0" w:color="auto"/>
            <w:left w:val="none" w:sz="0" w:space="0" w:color="auto"/>
            <w:bottom w:val="none" w:sz="0" w:space="0" w:color="auto"/>
            <w:right w:val="none" w:sz="0" w:space="0" w:color="auto"/>
          </w:divBdr>
        </w:div>
        <w:div w:id="634411641">
          <w:marLeft w:val="1310"/>
          <w:marRight w:val="0"/>
          <w:marTop w:val="0"/>
          <w:marBottom w:val="101"/>
          <w:divBdr>
            <w:top w:val="none" w:sz="0" w:space="0" w:color="auto"/>
            <w:left w:val="none" w:sz="0" w:space="0" w:color="auto"/>
            <w:bottom w:val="none" w:sz="0" w:space="0" w:color="auto"/>
            <w:right w:val="none" w:sz="0" w:space="0" w:color="auto"/>
          </w:divBdr>
        </w:div>
        <w:div w:id="39518253">
          <w:marLeft w:val="864"/>
          <w:marRight w:val="0"/>
          <w:marTop w:val="0"/>
          <w:marBottom w:val="101"/>
          <w:divBdr>
            <w:top w:val="none" w:sz="0" w:space="0" w:color="auto"/>
            <w:left w:val="none" w:sz="0" w:space="0" w:color="auto"/>
            <w:bottom w:val="none" w:sz="0" w:space="0" w:color="auto"/>
            <w:right w:val="none" w:sz="0" w:space="0" w:color="auto"/>
          </w:divBdr>
        </w:div>
        <w:div w:id="1030180356">
          <w:marLeft w:val="864"/>
          <w:marRight w:val="0"/>
          <w:marTop w:val="0"/>
          <w:marBottom w:val="101"/>
          <w:divBdr>
            <w:top w:val="none" w:sz="0" w:space="0" w:color="auto"/>
            <w:left w:val="none" w:sz="0" w:space="0" w:color="auto"/>
            <w:bottom w:val="none" w:sz="0" w:space="0" w:color="auto"/>
            <w:right w:val="none" w:sz="0" w:space="0" w:color="auto"/>
          </w:divBdr>
        </w:div>
        <w:div w:id="396167522">
          <w:marLeft w:val="864"/>
          <w:marRight w:val="0"/>
          <w:marTop w:val="0"/>
          <w:marBottom w:val="101"/>
          <w:divBdr>
            <w:top w:val="none" w:sz="0" w:space="0" w:color="auto"/>
            <w:left w:val="none" w:sz="0" w:space="0" w:color="auto"/>
            <w:bottom w:val="none" w:sz="0" w:space="0" w:color="auto"/>
            <w:right w:val="none" w:sz="0" w:space="0" w:color="auto"/>
          </w:divBdr>
        </w:div>
        <w:div w:id="1923755555">
          <w:marLeft w:val="864"/>
          <w:marRight w:val="0"/>
          <w:marTop w:val="0"/>
          <w:marBottom w:val="101"/>
          <w:divBdr>
            <w:top w:val="none" w:sz="0" w:space="0" w:color="auto"/>
            <w:left w:val="none" w:sz="0" w:space="0" w:color="auto"/>
            <w:bottom w:val="none" w:sz="0" w:space="0" w:color="auto"/>
            <w:right w:val="none" w:sz="0" w:space="0" w:color="auto"/>
          </w:divBdr>
        </w:div>
        <w:div w:id="2070692091">
          <w:marLeft w:val="0"/>
          <w:marRight w:val="0"/>
          <w:marTop w:val="0"/>
          <w:marBottom w:val="101"/>
          <w:divBdr>
            <w:top w:val="none" w:sz="0" w:space="0" w:color="auto"/>
            <w:left w:val="none" w:sz="0" w:space="0" w:color="auto"/>
            <w:bottom w:val="none" w:sz="0" w:space="0" w:color="auto"/>
            <w:right w:val="none" w:sz="0" w:space="0" w:color="auto"/>
          </w:divBdr>
        </w:div>
        <w:div w:id="108358568">
          <w:marLeft w:val="864"/>
          <w:marRight w:val="0"/>
          <w:marTop w:val="0"/>
          <w:marBottom w:val="101"/>
          <w:divBdr>
            <w:top w:val="none" w:sz="0" w:space="0" w:color="auto"/>
            <w:left w:val="none" w:sz="0" w:space="0" w:color="auto"/>
            <w:bottom w:val="none" w:sz="0" w:space="0" w:color="auto"/>
            <w:right w:val="none" w:sz="0" w:space="0" w:color="auto"/>
          </w:divBdr>
        </w:div>
        <w:div w:id="1035077757">
          <w:marLeft w:val="1310"/>
          <w:marRight w:val="0"/>
          <w:marTop w:val="0"/>
          <w:marBottom w:val="101"/>
          <w:divBdr>
            <w:top w:val="none" w:sz="0" w:space="0" w:color="auto"/>
            <w:left w:val="none" w:sz="0" w:space="0" w:color="auto"/>
            <w:bottom w:val="none" w:sz="0" w:space="0" w:color="auto"/>
            <w:right w:val="none" w:sz="0" w:space="0" w:color="auto"/>
          </w:divBdr>
        </w:div>
        <w:div w:id="1052193213">
          <w:marLeft w:val="1310"/>
          <w:marRight w:val="0"/>
          <w:marTop w:val="0"/>
          <w:marBottom w:val="101"/>
          <w:divBdr>
            <w:top w:val="none" w:sz="0" w:space="0" w:color="auto"/>
            <w:left w:val="none" w:sz="0" w:space="0" w:color="auto"/>
            <w:bottom w:val="none" w:sz="0" w:space="0" w:color="auto"/>
            <w:right w:val="none" w:sz="0" w:space="0" w:color="auto"/>
          </w:divBdr>
        </w:div>
        <w:div w:id="1093890676">
          <w:marLeft w:val="1310"/>
          <w:marRight w:val="0"/>
          <w:marTop w:val="0"/>
          <w:marBottom w:val="101"/>
          <w:divBdr>
            <w:top w:val="none" w:sz="0" w:space="0" w:color="auto"/>
            <w:left w:val="none" w:sz="0" w:space="0" w:color="auto"/>
            <w:bottom w:val="none" w:sz="0" w:space="0" w:color="auto"/>
            <w:right w:val="none" w:sz="0" w:space="0" w:color="auto"/>
          </w:divBdr>
        </w:div>
        <w:div w:id="147138170">
          <w:marLeft w:val="1310"/>
          <w:marRight w:val="0"/>
          <w:marTop w:val="0"/>
          <w:marBottom w:val="101"/>
          <w:divBdr>
            <w:top w:val="none" w:sz="0" w:space="0" w:color="auto"/>
            <w:left w:val="none" w:sz="0" w:space="0" w:color="auto"/>
            <w:bottom w:val="none" w:sz="0" w:space="0" w:color="auto"/>
            <w:right w:val="none" w:sz="0" w:space="0" w:color="auto"/>
          </w:divBdr>
        </w:div>
        <w:div w:id="499276900">
          <w:marLeft w:val="0"/>
          <w:marRight w:val="0"/>
          <w:marTop w:val="0"/>
          <w:marBottom w:val="101"/>
          <w:divBdr>
            <w:top w:val="none" w:sz="0" w:space="0" w:color="auto"/>
            <w:left w:val="none" w:sz="0" w:space="0" w:color="auto"/>
            <w:bottom w:val="none" w:sz="0" w:space="0" w:color="auto"/>
            <w:right w:val="none" w:sz="0" w:space="0" w:color="auto"/>
          </w:divBdr>
        </w:div>
        <w:div w:id="2047638273">
          <w:marLeft w:val="864"/>
          <w:marRight w:val="0"/>
          <w:marTop w:val="0"/>
          <w:marBottom w:val="101"/>
          <w:divBdr>
            <w:top w:val="none" w:sz="0" w:space="0" w:color="auto"/>
            <w:left w:val="none" w:sz="0" w:space="0" w:color="auto"/>
            <w:bottom w:val="none" w:sz="0" w:space="0" w:color="auto"/>
            <w:right w:val="none" w:sz="0" w:space="0" w:color="auto"/>
          </w:divBdr>
        </w:div>
        <w:div w:id="21366377">
          <w:marLeft w:val="0"/>
          <w:marRight w:val="0"/>
          <w:marTop w:val="0"/>
          <w:marBottom w:val="101"/>
          <w:divBdr>
            <w:top w:val="none" w:sz="0" w:space="0" w:color="auto"/>
            <w:left w:val="none" w:sz="0" w:space="0" w:color="auto"/>
            <w:bottom w:val="none" w:sz="0" w:space="0" w:color="auto"/>
            <w:right w:val="none" w:sz="0" w:space="0" w:color="auto"/>
          </w:divBdr>
        </w:div>
        <w:div w:id="1884292366">
          <w:marLeft w:val="864"/>
          <w:marRight w:val="0"/>
          <w:marTop w:val="0"/>
          <w:marBottom w:val="101"/>
          <w:divBdr>
            <w:top w:val="none" w:sz="0" w:space="0" w:color="auto"/>
            <w:left w:val="none" w:sz="0" w:space="0" w:color="auto"/>
            <w:bottom w:val="none" w:sz="0" w:space="0" w:color="auto"/>
            <w:right w:val="none" w:sz="0" w:space="0" w:color="auto"/>
          </w:divBdr>
        </w:div>
        <w:div w:id="1726486439">
          <w:marLeft w:val="0"/>
          <w:marRight w:val="0"/>
          <w:marTop w:val="0"/>
          <w:marBottom w:val="101"/>
          <w:divBdr>
            <w:top w:val="none" w:sz="0" w:space="0" w:color="auto"/>
            <w:left w:val="none" w:sz="0" w:space="0" w:color="auto"/>
            <w:bottom w:val="none" w:sz="0" w:space="0" w:color="auto"/>
            <w:right w:val="none" w:sz="0" w:space="0" w:color="auto"/>
          </w:divBdr>
        </w:div>
        <w:div w:id="1568954971">
          <w:marLeft w:val="864"/>
          <w:marRight w:val="0"/>
          <w:marTop w:val="0"/>
          <w:marBottom w:val="101"/>
          <w:divBdr>
            <w:top w:val="none" w:sz="0" w:space="0" w:color="auto"/>
            <w:left w:val="none" w:sz="0" w:space="0" w:color="auto"/>
            <w:bottom w:val="none" w:sz="0" w:space="0" w:color="auto"/>
            <w:right w:val="none" w:sz="0" w:space="0" w:color="auto"/>
          </w:divBdr>
        </w:div>
        <w:div w:id="73207501">
          <w:marLeft w:val="864"/>
          <w:marRight w:val="0"/>
          <w:marTop w:val="0"/>
          <w:marBottom w:val="101"/>
          <w:divBdr>
            <w:top w:val="none" w:sz="0" w:space="0" w:color="auto"/>
            <w:left w:val="none" w:sz="0" w:space="0" w:color="auto"/>
            <w:bottom w:val="none" w:sz="0" w:space="0" w:color="auto"/>
            <w:right w:val="none" w:sz="0" w:space="0" w:color="auto"/>
          </w:divBdr>
        </w:div>
        <w:div w:id="1840387762">
          <w:marLeft w:val="0"/>
          <w:marRight w:val="0"/>
          <w:marTop w:val="0"/>
          <w:marBottom w:val="101"/>
          <w:divBdr>
            <w:top w:val="none" w:sz="0" w:space="0" w:color="auto"/>
            <w:left w:val="none" w:sz="0" w:space="0" w:color="auto"/>
            <w:bottom w:val="none" w:sz="0" w:space="0" w:color="auto"/>
            <w:right w:val="none" w:sz="0" w:space="0" w:color="auto"/>
          </w:divBdr>
        </w:div>
        <w:div w:id="1215461509">
          <w:marLeft w:val="864"/>
          <w:marRight w:val="0"/>
          <w:marTop w:val="0"/>
          <w:marBottom w:val="101"/>
          <w:divBdr>
            <w:top w:val="none" w:sz="0" w:space="0" w:color="auto"/>
            <w:left w:val="none" w:sz="0" w:space="0" w:color="auto"/>
            <w:bottom w:val="none" w:sz="0" w:space="0" w:color="auto"/>
            <w:right w:val="none" w:sz="0" w:space="0" w:color="auto"/>
          </w:divBdr>
        </w:div>
        <w:div w:id="1010251952">
          <w:marLeft w:val="0"/>
          <w:marRight w:val="0"/>
          <w:marTop w:val="0"/>
          <w:marBottom w:val="101"/>
          <w:divBdr>
            <w:top w:val="none" w:sz="0" w:space="0" w:color="auto"/>
            <w:left w:val="none" w:sz="0" w:space="0" w:color="auto"/>
            <w:bottom w:val="none" w:sz="0" w:space="0" w:color="auto"/>
            <w:right w:val="none" w:sz="0" w:space="0" w:color="auto"/>
          </w:divBdr>
        </w:div>
        <w:div w:id="1207568635">
          <w:marLeft w:val="864"/>
          <w:marRight w:val="0"/>
          <w:marTop w:val="0"/>
          <w:marBottom w:val="101"/>
          <w:divBdr>
            <w:top w:val="none" w:sz="0" w:space="0" w:color="auto"/>
            <w:left w:val="none" w:sz="0" w:space="0" w:color="auto"/>
            <w:bottom w:val="none" w:sz="0" w:space="0" w:color="auto"/>
            <w:right w:val="none" w:sz="0" w:space="0" w:color="auto"/>
          </w:divBdr>
        </w:div>
        <w:div w:id="2098862493">
          <w:marLeft w:val="864"/>
          <w:marRight w:val="0"/>
          <w:marTop w:val="0"/>
          <w:marBottom w:val="101"/>
          <w:divBdr>
            <w:top w:val="none" w:sz="0" w:space="0" w:color="auto"/>
            <w:left w:val="none" w:sz="0" w:space="0" w:color="auto"/>
            <w:bottom w:val="none" w:sz="0" w:space="0" w:color="auto"/>
            <w:right w:val="none" w:sz="0" w:space="0" w:color="auto"/>
          </w:divBdr>
        </w:div>
        <w:div w:id="714936017">
          <w:marLeft w:val="0"/>
          <w:marRight w:val="0"/>
          <w:marTop w:val="0"/>
          <w:marBottom w:val="101"/>
          <w:divBdr>
            <w:top w:val="none" w:sz="0" w:space="0" w:color="auto"/>
            <w:left w:val="none" w:sz="0" w:space="0" w:color="auto"/>
            <w:bottom w:val="none" w:sz="0" w:space="0" w:color="auto"/>
            <w:right w:val="none" w:sz="0" w:space="0" w:color="auto"/>
          </w:divBdr>
        </w:div>
        <w:div w:id="77873000">
          <w:marLeft w:val="864"/>
          <w:marRight w:val="0"/>
          <w:marTop w:val="0"/>
          <w:marBottom w:val="101"/>
          <w:divBdr>
            <w:top w:val="none" w:sz="0" w:space="0" w:color="auto"/>
            <w:left w:val="none" w:sz="0" w:space="0" w:color="auto"/>
            <w:bottom w:val="none" w:sz="0" w:space="0" w:color="auto"/>
            <w:right w:val="none" w:sz="0" w:space="0" w:color="auto"/>
          </w:divBdr>
        </w:div>
        <w:div w:id="361131433">
          <w:marLeft w:val="0"/>
          <w:marRight w:val="0"/>
          <w:marTop w:val="0"/>
          <w:marBottom w:val="101"/>
          <w:divBdr>
            <w:top w:val="none" w:sz="0" w:space="0" w:color="auto"/>
            <w:left w:val="none" w:sz="0" w:space="0" w:color="auto"/>
            <w:bottom w:val="none" w:sz="0" w:space="0" w:color="auto"/>
            <w:right w:val="none" w:sz="0" w:space="0" w:color="auto"/>
          </w:divBdr>
        </w:div>
        <w:div w:id="578758002">
          <w:marLeft w:val="864"/>
          <w:marRight w:val="0"/>
          <w:marTop w:val="0"/>
          <w:marBottom w:val="101"/>
          <w:divBdr>
            <w:top w:val="none" w:sz="0" w:space="0" w:color="auto"/>
            <w:left w:val="none" w:sz="0" w:space="0" w:color="auto"/>
            <w:bottom w:val="none" w:sz="0" w:space="0" w:color="auto"/>
            <w:right w:val="none" w:sz="0" w:space="0" w:color="auto"/>
          </w:divBdr>
        </w:div>
        <w:div w:id="422652290">
          <w:marLeft w:val="0"/>
          <w:marRight w:val="0"/>
          <w:marTop w:val="0"/>
          <w:marBottom w:val="101"/>
          <w:divBdr>
            <w:top w:val="none" w:sz="0" w:space="0" w:color="auto"/>
            <w:left w:val="none" w:sz="0" w:space="0" w:color="auto"/>
            <w:bottom w:val="none" w:sz="0" w:space="0" w:color="auto"/>
            <w:right w:val="none" w:sz="0" w:space="0" w:color="auto"/>
          </w:divBdr>
        </w:div>
        <w:div w:id="1670328349">
          <w:marLeft w:val="864"/>
          <w:marRight w:val="0"/>
          <w:marTop w:val="0"/>
          <w:marBottom w:val="101"/>
          <w:divBdr>
            <w:top w:val="none" w:sz="0" w:space="0" w:color="auto"/>
            <w:left w:val="none" w:sz="0" w:space="0" w:color="auto"/>
            <w:bottom w:val="none" w:sz="0" w:space="0" w:color="auto"/>
            <w:right w:val="none" w:sz="0" w:space="0" w:color="auto"/>
          </w:divBdr>
        </w:div>
        <w:div w:id="1713723271">
          <w:marLeft w:val="0"/>
          <w:marRight w:val="0"/>
          <w:marTop w:val="0"/>
          <w:marBottom w:val="101"/>
          <w:divBdr>
            <w:top w:val="none" w:sz="0" w:space="0" w:color="auto"/>
            <w:left w:val="none" w:sz="0" w:space="0" w:color="auto"/>
            <w:bottom w:val="none" w:sz="0" w:space="0" w:color="auto"/>
            <w:right w:val="none" w:sz="0" w:space="0" w:color="auto"/>
          </w:divBdr>
        </w:div>
        <w:div w:id="158348505">
          <w:marLeft w:val="864"/>
          <w:marRight w:val="0"/>
          <w:marTop w:val="0"/>
          <w:marBottom w:val="101"/>
          <w:divBdr>
            <w:top w:val="none" w:sz="0" w:space="0" w:color="auto"/>
            <w:left w:val="none" w:sz="0" w:space="0" w:color="auto"/>
            <w:bottom w:val="none" w:sz="0" w:space="0" w:color="auto"/>
            <w:right w:val="none" w:sz="0" w:space="0" w:color="auto"/>
          </w:divBdr>
        </w:div>
        <w:div w:id="1916671341">
          <w:marLeft w:val="864"/>
          <w:marRight w:val="0"/>
          <w:marTop w:val="0"/>
          <w:marBottom w:val="101"/>
          <w:divBdr>
            <w:top w:val="none" w:sz="0" w:space="0" w:color="auto"/>
            <w:left w:val="none" w:sz="0" w:space="0" w:color="auto"/>
            <w:bottom w:val="none" w:sz="0" w:space="0" w:color="auto"/>
            <w:right w:val="none" w:sz="0" w:space="0" w:color="auto"/>
          </w:divBdr>
        </w:div>
        <w:div w:id="96606069">
          <w:marLeft w:val="1310"/>
          <w:marRight w:val="0"/>
          <w:marTop w:val="0"/>
          <w:marBottom w:val="101"/>
          <w:divBdr>
            <w:top w:val="none" w:sz="0" w:space="0" w:color="auto"/>
            <w:left w:val="none" w:sz="0" w:space="0" w:color="auto"/>
            <w:bottom w:val="none" w:sz="0" w:space="0" w:color="auto"/>
            <w:right w:val="none" w:sz="0" w:space="0" w:color="auto"/>
          </w:divBdr>
        </w:div>
        <w:div w:id="1911428552">
          <w:marLeft w:val="1310"/>
          <w:marRight w:val="0"/>
          <w:marTop w:val="0"/>
          <w:marBottom w:val="101"/>
          <w:divBdr>
            <w:top w:val="none" w:sz="0" w:space="0" w:color="auto"/>
            <w:left w:val="none" w:sz="0" w:space="0" w:color="auto"/>
            <w:bottom w:val="none" w:sz="0" w:space="0" w:color="auto"/>
            <w:right w:val="none" w:sz="0" w:space="0" w:color="auto"/>
          </w:divBdr>
        </w:div>
        <w:div w:id="886334809">
          <w:marLeft w:val="1310"/>
          <w:marRight w:val="0"/>
          <w:marTop w:val="0"/>
          <w:marBottom w:val="101"/>
          <w:divBdr>
            <w:top w:val="none" w:sz="0" w:space="0" w:color="auto"/>
            <w:left w:val="none" w:sz="0" w:space="0" w:color="auto"/>
            <w:bottom w:val="none" w:sz="0" w:space="0" w:color="auto"/>
            <w:right w:val="none" w:sz="0" w:space="0" w:color="auto"/>
          </w:divBdr>
        </w:div>
        <w:div w:id="647367817">
          <w:marLeft w:val="1310"/>
          <w:marRight w:val="0"/>
          <w:marTop w:val="0"/>
          <w:marBottom w:val="101"/>
          <w:divBdr>
            <w:top w:val="none" w:sz="0" w:space="0" w:color="auto"/>
            <w:left w:val="none" w:sz="0" w:space="0" w:color="auto"/>
            <w:bottom w:val="none" w:sz="0" w:space="0" w:color="auto"/>
            <w:right w:val="none" w:sz="0" w:space="0" w:color="auto"/>
          </w:divBdr>
        </w:div>
        <w:div w:id="2029596635">
          <w:marLeft w:val="864"/>
          <w:marRight w:val="0"/>
          <w:marTop w:val="0"/>
          <w:marBottom w:val="101"/>
          <w:divBdr>
            <w:top w:val="none" w:sz="0" w:space="0" w:color="auto"/>
            <w:left w:val="none" w:sz="0" w:space="0" w:color="auto"/>
            <w:bottom w:val="none" w:sz="0" w:space="0" w:color="auto"/>
            <w:right w:val="none" w:sz="0" w:space="0" w:color="auto"/>
          </w:divBdr>
        </w:div>
        <w:div w:id="1775781019">
          <w:marLeft w:val="864"/>
          <w:marRight w:val="0"/>
          <w:marTop w:val="0"/>
          <w:marBottom w:val="101"/>
          <w:divBdr>
            <w:top w:val="none" w:sz="0" w:space="0" w:color="auto"/>
            <w:left w:val="none" w:sz="0" w:space="0" w:color="auto"/>
            <w:bottom w:val="none" w:sz="0" w:space="0" w:color="auto"/>
            <w:right w:val="none" w:sz="0" w:space="0" w:color="auto"/>
          </w:divBdr>
        </w:div>
        <w:div w:id="2076127786">
          <w:marLeft w:val="864"/>
          <w:marRight w:val="0"/>
          <w:marTop w:val="0"/>
          <w:marBottom w:val="101"/>
          <w:divBdr>
            <w:top w:val="none" w:sz="0" w:space="0" w:color="auto"/>
            <w:left w:val="none" w:sz="0" w:space="0" w:color="auto"/>
            <w:bottom w:val="none" w:sz="0" w:space="0" w:color="auto"/>
            <w:right w:val="none" w:sz="0" w:space="0" w:color="auto"/>
          </w:divBdr>
        </w:div>
        <w:div w:id="70586784">
          <w:marLeft w:val="864"/>
          <w:marRight w:val="0"/>
          <w:marTop w:val="0"/>
          <w:marBottom w:val="101"/>
          <w:divBdr>
            <w:top w:val="none" w:sz="0" w:space="0" w:color="auto"/>
            <w:left w:val="none" w:sz="0" w:space="0" w:color="auto"/>
            <w:bottom w:val="none" w:sz="0" w:space="0" w:color="auto"/>
            <w:right w:val="none" w:sz="0" w:space="0" w:color="auto"/>
          </w:divBdr>
        </w:div>
        <w:div w:id="1089041647">
          <w:marLeft w:val="0"/>
          <w:marRight w:val="0"/>
          <w:marTop w:val="0"/>
          <w:marBottom w:val="101"/>
          <w:divBdr>
            <w:top w:val="none" w:sz="0" w:space="0" w:color="auto"/>
            <w:left w:val="none" w:sz="0" w:space="0" w:color="auto"/>
            <w:bottom w:val="none" w:sz="0" w:space="0" w:color="auto"/>
            <w:right w:val="none" w:sz="0" w:space="0" w:color="auto"/>
          </w:divBdr>
        </w:div>
        <w:div w:id="562373241">
          <w:marLeft w:val="864"/>
          <w:marRight w:val="0"/>
          <w:marTop w:val="0"/>
          <w:marBottom w:val="101"/>
          <w:divBdr>
            <w:top w:val="none" w:sz="0" w:space="0" w:color="auto"/>
            <w:left w:val="none" w:sz="0" w:space="0" w:color="auto"/>
            <w:bottom w:val="none" w:sz="0" w:space="0" w:color="auto"/>
            <w:right w:val="none" w:sz="0" w:space="0" w:color="auto"/>
          </w:divBdr>
        </w:div>
        <w:div w:id="82117233">
          <w:marLeft w:val="0"/>
          <w:marRight w:val="0"/>
          <w:marTop w:val="0"/>
          <w:marBottom w:val="101"/>
          <w:divBdr>
            <w:top w:val="none" w:sz="0" w:space="0" w:color="auto"/>
            <w:left w:val="none" w:sz="0" w:space="0" w:color="auto"/>
            <w:bottom w:val="none" w:sz="0" w:space="0" w:color="auto"/>
            <w:right w:val="none" w:sz="0" w:space="0" w:color="auto"/>
          </w:divBdr>
        </w:div>
        <w:div w:id="588777442">
          <w:marLeft w:val="864"/>
          <w:marRight w:val="0"/>
          <w:marTop w:val="0"/>
          <w:marBottom w:val="101"/>
          <w:divBdr>
            <w:top w:val="none" w:sz="0" w:space="0" w:color="auto"/>
            <w:left w:val="none" w:sz="0" w:space="0" w:color="auto"/>
            <w:bottom w:val="none" w:sz="0" w:space="0" w:color="auto"/>
            <w:right w:val="none" w:sz="0" w:space="0" w:color="auto"/>
          </w:divBdr>
        </w:div>
        <w:div w:id="1791361683">
          <w:marLeft w:val="864"/>
          <w:marRight w:val="0"/>
          <w:marTop w:val="0"/>
          <w:marBottom w:val="101"/>
          <w:divBdr>
            <w:top w:val="none" w:sz="0" w:space="0" w:color="auto"/>
            <w:left w:val="none" w:sz="0" w:space="0" w:color="auto"/>
            <w:bottom w:val="none" w:sz="0" w:space="0" w:color="auto"/>
            <w:right w:val="none" w:sz="0" w:space="0" w:color="auto"/>
          </w:divBdr>
        </w:div>
        <w:div w:id="1270040231">
          <w:marLeft w:val="864"/>
          <w:marRight w:val="0"/>
          <w:marTop w:val="0"/>
          <w:marBottom w:val="101"/>
          <w:divBdr>
            <w:top w:val="none" w:sz="0" w:space="0" w:color="auto"/>
            <w:left w:val="none" w:sz="0" w:space="0" w:color="auto"/>
            <w:bottom w:val="none" w:sz="0" w:space="0" w:color="auto"/>
            <w:right w:val="none" w:sz="0" w:space="0" w:color="auto"/>
          </w:divBdr>
        </w:div>
        <w:div w:id="106849594">
          <w:marLeft w:val="864"/>
          <w:marRight w:val="0"/>
          <w:marTop w:val="0"/>
          <w:marBottom w:val="101"/>
          <w:divBdr>
            <w:top w:val="none" w:sz="0" w:space="0" w:color="auto"/>
            <w:left w:val="none" w:sz="0" w:space="0" w:color="auto"/>
            <w:bottom w:val="none" w:sz="0" w:space="0" w:color="auto"/>
            <w:right w:val="none" w:sz="0" w:space="0" w:color="auto"/>
          </w:divBdr>
        </w:div>
        <w:div w:id="112217666">
          <w:marLeft w:val="864"/>
          <w:marRight w:val="0"/>
          <w:marTop w:val="0"/>
          <w:marBottom w:val="101"/>
          <w:divBdr>
            <w:top w:val="none" w:sz="0" w:space="0" w:color="auto"/>
            <w:left w:val="none" w:sz="0" w:space="0" w:color="auto"/>
            <w:bottom w:val="none" w:sz="0" w:space="0" w:color="auto"/>
            <w:right w:val="none" w:sz="0" w:space="0" w:color="auto"/>
          </w:divBdr>
        </w:div>
        <w:div w:id="1811633394">
          <w:marLeft w:val="864"/>
          <w:marRight w:val="0"/>
          <w:marTop w:val="0"/>
          <w:marBottom w:val="101"/>
          <w:divBdr>
            <w:top w:val="none" w:sz="0" w:space="0" w:color="auto"/>
            <w:left w:val="none" w:sz="0" w:space="0" w:color="auto"/>
            <w:bottom w:val="none" w:sz="0" w:space="0" w:color="auto"/>
            <w:right w:val="none" w:sz="0" w:space="0" w:color="auto"/>
          </w:divBdr>
        </w:div>
        <w:div w:id="1829516687">
          <w:marLeft w:val="864"/>
          <w:marRight w:val="0"/>
          <w:marTop w:val="0"/>
          <w:marBottom w:val="101"/>
          <w:divBdr>
            <w:top w:val="none" w:sz="0" w:space="0" w:color="auto"/>
            <w:left w:val="none" w:sz="0" w:space="0" w:color="auto"/>
            <w:bottom w:val="none" w:sz="0" w:space="0" w:color="auto"/>
            <w:right w:val="none" w:sz="0" w:space="0" w:color="auto"/>
          </w:divBdr>
        </w:div>
        <w:div w:id="873234066">
          <w:marLeft w:val="0"/>
          <w:marRight w:val="0"/>
          <w:marTop w:val="0"/>
          <w:marBottom w:val="101"/>
          <w:divBdr>
            <w:top w:val="none" w:sz="0" w:space="0" w:color="auto"/>
            <w:left w:val="none" w:sz="0" w:space="0" w:color="auto"/>
            <w:bottom w:val="none" w:sz="0" w:space="0" w:color="auto"/>
            <w:right w:val="none" w:sz="0" w:space="0" w:color="auto"/>
          </w:divBdr>
        </w:div>
        <w:div w:id="1691056663">
          <w:marLeft w:val="864"/>
          <w:marRight w:val="0"/>
          <w:marTop w:val="0"/>
          <w:marBottom w:val="101"/>
          <w:divBdr>
            <w:top w:val="none" w:sz="0" w:space="0" w:color="auto"/>
            <w:left w:val="none" w:sz="0" w:space="0" w:color="auto"/>
            <w:bottom w:val="none" w:sz="0" w:space="0" w:color="auto"/>
            <w:right w:val="none" w:sz="0" w:space="0" w:color="auto"/>
          </w:divBdr>
        </w:div>
        <w:div w:id="2059352542">
          <w:marLeft w:val="0"/>
          <w:marRight w:val="0"/>
          <w:marTop w:val="0"/>
          <w:marBottom w:val="101"/>
          <w:divBdr>
            <w:top w:val="none" w:sz="0" w:space="0" w:color="auto"/>
            <w:left w:val="none" w:sz="0" w:space="0" w:color="auto"/>
            <w:bottom w:val="none" w:sz="0" w:space="0" w:color="auto"/>
            <w:right w:val="none" w:sz="0" w:space="0" w:color="auto"/>
          </w:divBdr>
        </w:div>
        <w:div w:id="155995953">
          <w:marLeft w:val="0"/>
          <w:marRight w:val="0"/>
          <w:marTop w:val="0"/>
          <w:marBottom w:val="101"/>
          <w:divBdr>
            <w:top w:val="none" w:sz="0" w:space="0" w:color="auto"/>
            <w:left w:val="none" w:sz="0" w:space="0" w:color="auto"/>
            <w:bottom w:val="none" w:sz="0" w:space="0" w:color="auto"/>
            <w:right w:val="none" w:sz="0" w:space="0" w:color="auto"/>
          </w:divBdr>
        </w:div>
        <w:div w:id="811599347">
          <w:marLeft w:val="864"/>
          <w:marRight w:val="0"/>
          <w:marTop w:val="0"/>
          <w:marBottom w:val="101"/>
          <w:divBdr>
            <w:top w:val="none" w:sz="0" w:space="0" w:color="auto"/>
            <w:left w:val="none" w:sz="0" w:space="0" w:color="auto"/>
            <w:bottom w:val="none" w:sz="0" w:space="0" w:color="auto"/>
            <w:right w:val="none" w:sz="0" w:space="0" w:color="auto"/>
          </w:divBdr>
        </w:div>
        <w:div w:id="1094786690">
          <w:marLeft w:val="0"/>
          <w:marRight w:val="0"/>
          <w:marTop w:val="0"/>
          <w:marBottom w:val="101"/>
          <w:divBdr>
            <w:top w:val="none" w:sz="0" w:space="0" w:color="auto"/>
            <w:left w:val="none" w:sz="0" w:space="0" w:color="auto"/>
            <w:bottom w:val="none" w:sz="0" w:space="0" w:color="auto"/>
            <w:right w:val="none" w:sz="0" w:space="0" w:color="auto"/>
          </w:divBdr>
        </w:div>
        <w:div w:id="2097824962">
          <w:marLeft w:val="864"/>
          <w:marRight w:val="0"/>
          <w:marTop w:val="0"/>
          <w:marBottom w:val="101"/>
          <w:divBdr>
            <w:top w:val="none" w:sz="0" w:space="0" w:color="auto"/>
            <w:left w:val="none" w:sz="0" w:space="0" w:color="auto"/>
            <w:bottom w:val="none" w:sz="0" w:space="0" w:color="auto"/>
            <w:right w:val="none" w:sz="0" w:space="0" w:color="auto"/>
          </w:divBdr>
        </w:div>
        <w:div w:id="1871723499">
          <w:marLeft w:val="1310"/>
          <w:marRight w:val="0"/>
          <w:marTop w:val="0"/>
          <w:marBottom w:val="101"/>
          <w:divBdr>
            <w:top w:val="none" w:sz="0" w:space="0" w:color="auto"/>
            <w:left w:val="none" w:sz="0" w:space="0" w:color="auto"/>
            <w:bottom w:val="none" w:sz="0" w:space="0" w:color="auto"/>
            <w:right w:val="none" w:sz="0" w:space="0" w:color="auto"/>
          </w:divBdr>
        </w:div>
        <w:div w:id="790132388">
          <w:marLeft w:val="1310"/>
          <w:marRight w:val="0"/>
          <w:marTop w:val="0"/>
          <w:marBottom w:val="101"/>
          <w:divBdr>
            <w:top w:val="none" w:sz="0" w:space="0" w:color="auto"/>
            <w:left w:val="none" w:sz="0" w:space="0" w:color="auto"/>
            <w:bottom w:val="none" w:sz="0" w:space="0" w:color="auto"/>
            <w:right w:val="none" w:sz="0" w:space="0" w:color="auto"/>
          </w:divBdr>
        </w:div>
        <w:div w:id="423653733">
          <w:marLeft w:val="1310"/>
          <w:marRight w:val="0"/>
          <w:marTop w:val="0"/>
          <w:marBottom w:val="101"/>
          <w:divBdr>
            <w:top w:val="none" w:sz="0" w:space="0" w:color="auto"/>
            <w:left w:val="none" w:sz="0" w:space="0" w:color="auto"/>
            <w:bottom w:val="none" w:sz="0" w:space="0" w:color="auto"/>
            <w:right w:val="none" w:sz="0" w:space="0" w:color="auto"/>
          </w:divBdr>
        </w:div>
        <w:div w:id="1433092261">
          <w:marLeft w:val="1310"/>
          <w:marRight w:val="0"/>
          <w:marTop w:val="0"/>
          <w:marBottom w:val="101"/>
          <w:divBdr>
            <w:top w:val="none" w:sz="0" w:space="0" w:color="auto"/>
            <w:left w:val="none" w:sz="0" w:space="0" w:color="auto"/>
            <w:bottom w:val="none" w:sz="0" w:space="0" w:color="auto"/>
            <w:right w:val="none" w:sz="0" w:space="0" w:color="auto"/>
          </w:divBdr>
        </w:div>
        <w:div w:id="452334768">
          <w:marLeft w:val="1310"/>
          <w:marRight w:val="0"/>
          <w:marTop w:val="0"/>
          <w:marBottom w:val="101"/>
          <w:divBdr>
            <w:top w:val="none" w:sz="0" w:space="0" w:color="auto"/>
            <w:left w:val="none" w:sz="0" w:space="0" w:color="auto"/>
            <w:bottom w:val="none" w:sz="0" w:space="0" w:color="auto"/>
            <w:right w:val="none" w:sz="0" w:space="0" w:color="auto"/>
          </w:divBdr>
        </w:div>
        <w:div w:id="744838336">
          <w:marLeft w:val="864"/>
          <w:marRight w:val="0"/>
          <w:marTop w:val="0"/>
          <w:marBottom w:val="101"/>
          <w:divBdr>
            <w:top w:val="none" w:sz="0" w:space="0" w:color="auto"/>
            <w:left w:val="none" w:sz="0" w:space="0" w:color="auto"/>
            <w:bottom w:val="none" w:sz="0" w:space="0" w:color="auto"/>
            <w:right w:val="none" w:sz="0" w:space="0" w:color="auto"/>
          </w:divBdr>
        </w:div>
        <w:div w:id="1697847646">
          <w:marLeft w:val="864"/>
          <w:marRight w:val="0"/>
          <w:marTop w:val="0"/>
          <w:marBottom w:val="101"/>
          <w:divBdr>
            <w:top w:val="none" w:sz="0" w:space="0" w:color="auto"/>
            <w:left w:val="none" w:sz="0" w:space="0" w:color="auto"/>
            <w:bottom w:val="none" w:sz="0" w:space="0" w:color="auto"/>
            <w:right w:val="none" w:sz="0" w:space="0" w:color="auto"/>
          </w:divBdr>
        </w:div>
        <w:div w:id="760220069">
          <w:marLeft w:val="864"/>
          <w:marRight w:val="0"/>
          <w:marTop w:val="0"/>
          <w:marBottom w:val="101"/>
          <w:divBdr>
            <w:top w:val="none" w:sz="0" w:space="0" w:color="auto"/>
            <w:left w:val="none" w:sz="0" w:space="0" w:color="auto"/>
            <w:bottom w:val="none" w:sz="0" w:space="0" w:color="auto"/>
            <w:right w:val="none" w:sz="0" w:space="0" w:color="auto"/>
          </w:divBdr>
        </w:div>
        <w:div w:id="2068913442">
          <w:marLeft w:val="864"/>
          <w:marRight w:val="0"/>
          <w:marTop w:val="0"/>
          <w:marBottom w:val="101"/>
          <w:divBdr>
            <w:top w:val="none" w:sz="0" w:space="0" w:color="auto"/>
            <w:left w:val="none" w:sz="0" w:space="0" w:color="auto"/>
            <w:bottom w:val="none" w:sz="0" w:space="0" w:color="auto"/>
            <w:right w:val="none" w:sz="0" w:space="0" w:color="auto"/>
          </w:divBdr>
        </w:div>
        <w:div w:id="907153958">
          <w:marLeft w:val="0"/>
          <w:marRight w:val="0"/>
          <w:marTop w:val="0"/>
          <w:marBottom w:val="101"/>
          <w:divBdr>
            <w:top w:val="none" w:sz="0" w:space="0" w:color="auto"/>
            <w:left w:val="none" w:sz="0" w:space="0" w:color="auto"/>
            <w:bottom w:val="none" w:sz="0" w:space="0" w:color="auto"/>
            <w:right w:val="none" w:sz="0" w:space="0" w:color="auto"/>
          </w:divBdr>
        </w:div>
        <w:div w:id="1113860284">
          <w:marLeft w:val="864"/>
          <w:marRight w:val="0"/>
          <w:marTop w:val="0"/>
          <w:marBottom w:val="101"/>
          <w:divBdr>
            <w:top w:val="none" w:sz="0" w:space="0" w:color="auto"/>
            <w:left w:val="none" w:sz="0" w:space="0" w:color="auto"/>
            <w:bottom w:val="none" w:sz="0" w:space="0" w:color="auto"/>
            <w:right w:val="none" w:sz="0" w:space="0" w:color="auto"/>
          </w:divBdr>
        </w:div>
        <w:div w:id="1042631331">
          <w:marLeft w:val="0"/>
          <w:marRight w:val="0"/>
          <w:marTop w:val="0"/>
          <w:marBottom w:val="101"/>
          <w:divBdr>
            <w:top w:val="none" w:sz="0" w:space="0" w:color="auto"/>
            <w:left w:val="none" w:sz="0" w:space="0" w:color="auto"/>
            <w:bottom w:val="none" w:sz="0" w:space="0" w:color="auto"/>
            <w:right w:val="none" w:sz="0" w:space="0" w:color="auto"/>
          </w:divBdr>
        </w:div>
        <w:div w:id="1647663585">
          <w:marLeft w:val="864"/>
          <w:marRight w:val="0"/>
          <w:marTop w:val="0"/>
          <w:marBottom w:val="101"/>
          <w:divBdr>
            <w:top w:val="none" w:sz="0" w:space="0" w:color="auto"/>
            <w:left w:val="none" w:sz="0" w:space="0" w:color="auto"/>
            <w:bottom w:val="none" w:sz="0" w:space="0" w:color="auto"/>
            <w:right w:val="none" w:sz="0" w:space="0" w:color="auto"/>
          </w:divBdr>
        </w:div>
        <w:div w:id="680935302">
          <w:marLeft w:val="0"/>
          <w:marRight w:val="0"/>
          <w:marTop w:val="0"/>
          <w:marBottom w:val="101"/>
          <w:divBdr>
            <w:top w:val="none" w:sz="0" w:space="0" w:color="auto"/>
            <w:left w:val="none" w:sz="0" w:space="0" w:color="auto"/>
            <w:bottom w:val="none" w:sz="0" w:space="0" w:color="auto"/>
            <w:right w:val="none" w:sz="0" w:space="0" w:color="auto"/>
          </w:divBdr>
        </w:div>
        <w:div w:id="141125191">
          <w:marLeft w:val="864"/>
          <w:marRight w:val="0"/>
          <w:marTop w:val="0"/>
          <w:marBottom w:val="101"/>
          <w:divBdr>
            <w:top w:val="none" w:sz="0" w:space="0" w:color="auto"/>
            <w:left w:val="none" w:sz="0" w:space="0" w:color="auto"/>
            <w:bottom w:val="none" w:sz="0" w:space="0" w:color="auto"/>
            <w:right w:val="none" w:sz="0" w:space="0" w:color="auto"/>
          </w:divBdr>
        </w:div>
        <w:div w:id="1568570302">
          <w:marLeft w:val="0"/>
          <w:marRight w:val="0"/>
          <w:marTop w:val="0"/>
          <w:marBottom w:val="101"/>
          <w:divBdr>
            <w:top w:val="none" w:sz="0" w:space="0" w:color="auto"/>
            <w:left w:val="none" w:sz="0" w:space="0" w:color="auto"/>
            <w:bottom w:val="none" w:sz="0" w:space="0" w:color="auto"/>
            <w:right w:val="none" w:sz="0" w:space="0" w:color="auto"/>
          </w:divBdr>
        </w:div>
        <w:div w:id="1282957011">
          <w:marLeft w:val="864"/>
          <w:marRight w:val="0"/>
          <w:marTop w:val="0"/>
          <w:marBottom w:val="101"/>
          <w:divBdr>
            <w:top w:val="none" w:sz="0" w:space="0" w:color="auto"/>
            <w:left w:val="none" w:sz="0" w:space="0" w:color="auto"/>
            <w:bottom w:val="none" w:sz="0" w:space="0" w:color="auto"/>
            <w:right w:val="none" w:sz="0" w:space="0" w:color="auto"/>
          </w:divBdr>
        </w:div>
        <w:div w:id="1996059168">
          <w:marLeft w:val="864"/>
          <w:marRight w:val="0"/>
          <w:marTop w:val="0"/>
          <w:marBottom w:val="101"/>
          <w:divBdr>
            <w:top w:val="none" w:sz="0" w:space="0" w:color="auto"/>
            <w:left w:val="none" w:sz="0" w:space="0" w:color="auto"/>
            <w:bottom w:val="none" w:sz="0" w:space="0" w:color="auto"/>
            <w:right w:val="none" w:sz="0" w:space="0" w:color="auto"/>
          </w:divBdr>
        </w:div>
        <w:div w:id="1454127657">
          <w:marLeft w:val="1310"/>
          <w:marRight w:val="0"/>
          <w:marTop w:val="0"/>
          <w:marBottom w:val="101"/>
          <w:divBdr>
            <w:top w:val="none" w:sz="0" w:space="0" w:color="auto"/>
            <w:left w:val="none" w:sz="0" w:space="0" w:color="auto"/>
            <w:bottom w:val="none" w:sz="0" w:space="0" w:color="auto"/>
            <w:right w:val="none" w:sz="0" w:space="0" w:color="auto"/>
          </w:divBdr>
        </w:div>
        <w:div w:id="1221939334">
          <w:marLeft w:val="1310"/>
          <w:marRight w:val="0"/>
          <w:marTop w:val="0"/>
          <w:marBottom w:val="101"/>
          <w:divBdr>
            <w:top w:val="none" w:sz="0" w:space="0" w:color="auto"/>
            <w:left w:val="none" w:sz="0" w:space="0" w:color="auto"/>
            <w:bottom w:val="none" w:sz="0" w:space="0" w:color="auto"/>
            <w:right w:val="none" w:sz="0" w:space="0" w:color="auto"/>
          </w:divBdr>
        </w:div>
        <w:div w:id="876814850">
          <w:marLeft w:val="1310"/>
          <w:marRight w:val="0"/>
          <w:marTop w:val="0"/>
          <w:marBottom w:val="101"/>
          <w:divBdr>
            <w:top w:val="none" w:sz="0" w:space="0" w:color="auto"/>
            <w:left w:val="none" w:sz="0" w:space="0" w:color="auto"/>
            <w:bottom w:val="none" w:sz="0" w:space="0" w:color="auto"/>
            <w:right w:val="none" w:sz="0" w:space="0" w:color="auto"/>
          </w:divBdr>
        </w:div>
        <w:div w:id="879974199">
          <w:marLeft w:val="1310"/>
          <w:marRight w:val="0"/>
          <w:marTop w:val="0"/>
          <w:marBottom w:val="101"/>
          <w:divBdr>
            <w:top w:val="none" w:sz="0" w:space="0" w:color="auto"/>
            <w:left w:val="none" w:sz="0" w:space="0" w:color="auto"/>
            <w:bottom w:val="none" w:sz="0" w:space="0" w:color="auto"/>
            <w:right w:val="none" w:sz="0" w:space="0" w:color="auto"/>
          </w:divBdr>
        </w:div>
        <w:div w:id="1822235889">
          <w:marLeft w:val="864"/>
          <w:marRight w:val="0"/>
          <w:marTop w:val="0"/>
          <w:marBottom w:val="101"/>
          <w:divBdr>
            <w:top w:val="none" w:sz="0" w:space="0" w:color="auto"/>
            <w:left w:val="none" w:sz="0" w:space="0" w:color="auto"/>
            <w:bottom w:val="none" w:sz="0" w:space="0" w:color="auto"/>
            <w:right w:val="none" w:sz="0" w:space="0" w:color="auto"/>
          </w:divBdr>
        </w:div>
        <w:div w:id="1414283332">
          <w:marLeft w:val="864"/>
          <w:marRight w:val="0"/>
          <w:marTop w:val="0"/>
          <w:marBottom w:val="101"/>
          <w:divBdr>
            <w:top w:val="none" w:sz="0" w:space="0" w:color="auto"/>
            <w:left w:val="none" w:sz="0" w:space="0" w:color="auto"/>
            <w:bottom w:val="none" w:sz="0" w:space="0" w:color="auto"/>
            <w:right w:val="none" w:sz="0" w:space="0" w:color="auto"/>
          </w:divBdr>
        </w:div>
        <w:div w:id="130055890">
          <w:marLeft w:val="864"/>
          <w:marRight w:val="0"/>
          <w:marTop w:val="0"/>
          <w:marBottom w:val="101"/>
          <w:divBdr>
            <w:top w:val="none" w:sz="0" w:space="0" w:color="auto"/>
            <w:left w:val="none" w:sz="0" w:space="0" w:color="auto"/>
            <w:bottom w:val="none" w:sz="0" w:space="0" w:color="auto"/>
            <w:right w:val="none" w:sz="0" w:space="0" w:color="auto"/>
          </w:divBdr>
        </w:div>
        <w:div w:id="1757746583">
          <w:marLeft w:val="864"/>
          <w:marRight w:val="0"/>
          <w:marTop w:val="0"/>
          <w:marBottom w:val="101"/>
          <w:divBdr>
            <w:top w:val="none" w:sz="0" w:space="0" w:color="auto"/>
            <w:left w:val="none" w:sz="0" w:space="0" w:color="auto"/>
            <w:bottom w:val="none" w:sz="0" w:space="0" w:color="auto"/>
            <w:right w:val="none" w:sz="0" w:space="0" w:color="auto"/>
          </w:divBdr>
        </w:div>
        <w:div w:id="1660503793">
          <w:marLeft w:val="864"/>
          <w:marRight w:val="0"/>
          <w:marTop w:val="0"/>
          <w:marBottom w:val="101"/>
          <w:divBdr>
            <w:top w:val="none" w:sz="0" w:space="0" w:color="auto"/>
            <w:left w:val="none" w:sz="0" w:space="0" w:color="auto"/>
            <w:bottom w:val="none" w:sz="0" w:space="0" w:color="auto"/>
            <w:right w:val="none" w:sz="0" w:space="0" w:color="auto"/>
          </w:divBdr>
        </w:div>
        <w:div w:id="372968297">
          <w:marLeft w:val="0"/>
          <w:marRight w:val="0"/>
          <w:marTop w:val="0"/>
          <w:marBottom w:val="101"/>
          <w:divBdr>
            <w:top w:val="none" w:sz="0" w:space="0" w:color="auto"/>
            <w:left w:val="none" w:sz="0" w:space="0" w:color="auto"/>
            <w:bottom w:val="none" w:sz="0" w:space="0" w:color="auto"/>
            <w:right w:val="none" w:sz="0" w:space="0" w:color="auto"/>
          </w:divBdr>
        </w:div>
        <w:div w:id="913781970">
          <w:marLeft w:val="864"/>
          <w:marRight w:val="0"/>
          <w:marTop w:val="0"/>
          <w:marBottom w:val="101"/>
          <w:divBdr>
            <w:top w:val="none" w:sz="0" w:space="0" w:color="auto"/>
            <w:left w:val="none" w:sz="0" w:space="0" w:color="auto"/>
            <w:bottom w:val="none" w:sz="0" w:space="0" w:color="auto"/>
            <w:right w:val="none" w:sz="0" w:space="0" w:color="auto"/>
          </w:divBdr>
        </w:div>
        <w:div w:id="2011063378">
          <w:marLeft w:val="0"/>
          <w:marRight w:val="0"/>
          <w:marTop w:val="0"/>
          <w:marBottom w:val="101"/>
          <w:divBdr>
            <w:top w:val="none" w:sz="0" w:space="0" w:color="auto"/>
            <w:left w:val="none" w:sz="0" w:space="0" w:color="auto"/>
            <w:bottom w:val="none" w:sz="0" w:space="0" w:color="auto"/>
            <w:right w:val="none" w:sz="0" w:space="0" w:color="auto"/>
          </w:divBdr>
        </w:div>
        <w:div w:id="899706888">
          <w:marLeft w:val="864"/>
          <w:marRight w:val="0"/>
          <w:marTop w:val="0"/>
          <w:marBottom w:val="101"/>
          <w:divBdr>
            <w:top w:val="none" w:sz="0" w:space="0" w:color="auto"/>
            <w:left w:val="none" w:sz="0" w:space="0" w:color="auto"/>
            <w:bottom w:val="none" w:sz="0" w:space="0" w:color="auto"/>
            <w:right w:val="none" w:sz="0" w:space="0" w:color="auto"/>
          </w:divBdr>
        </w:div>
        <w:div w:id="90398807">
          <w:marLeft w:val="864"/>
          <w:marRight w:val="0"/>
          <w:marTop w:val="0"/>
          <w:marBottom w:val="101"/>
          <w:divBdr>
            <w:top w:val="none" w:sz="0" w:space="0" w:color="auto"/>
            <w:left w:val="none" w:sz="0" w:space="0" w:color="auto"/>
            <w:bottom w:val="none" w:sz="0" w:space="0" w:color="auto"/>
            <w:right w:val="none" w:sz="0" w:space="0" w:color="auto"/>
          </w:divBdr>
        </w:div>
        <w:div w:id="339236607">
          <w:marLeft w:val="864"/>
          <w:marRight w:val="0"/>
          <w:marTop w:val="0"/>
          <w:marBottom w:val="101"/>
          <w:divBdr>
            <w:top w:val="none" w:sz="0" w:space="0" w:color="auto"/>
            <w:left w:val="none" w:sz="0" w:space="0" w:color="auto"/>
            <w:bottom w:val="none" w:sz="0" w:space="0" w:color="auto"/>
            <w:right w:val="none" w:sz="0" w:space="0" w:color="auto"/>
          </w:divBdr>
        </w:div>
        <w:div w:id="578907952">
          <w:marLeft w:val="864"/>
          <w:marRight w:val="0"/>
          <w:marTop w:val="0"/>
          <w:marBottom w:val="101"/>
          <w:divBdr>
            <w:top w:val="none" w:sz="0" w:space="0" w:color="auto"/>
            <w:left w:val="none" w:sz="0" w:space="0" w:color="auto"/>
            <w:bottom w:val="none" w:sz="0" w:space="0" w:color="auto"/>
            <w:right w:val="none" w:sz="0" w:space="0" w:color="auto"/>
          </w:divBdr>
        </w:div>
        <w:div w:id="973217556">
          <w:marLeft w:val="0"/>
          <w:marRight w:val="0"/>
          <w:marTop w:val="0"/>
          <w:marBottom w:val="101"/>
          <w:divBdr>
            <w:top w:val="none" w:sz="0" w:space="0" w:color="auto"/>
            <w:left w:val="none" w:sz="0" w:space="0" w:color="auto"/>
            <w:bottom w:val="none" w:sz="0" w:space="0" w:color="auto"/>
            <w:right w:val="none" w:sz="0" w:space="0" w:color="auto"/>
          </w:divBdr>
        </w:div>
        <w:div w:id="1422752922">
          <w:marLeft w:val="864"/>
          <w:marRight w:val="0"/>
          <w:marTop w:val="0"/>
          <w:marBottom w:val="101"/>
          <w:divBdr>
            <w:top w:val="none" w:sz="0" w:space="0" w:color="auto"/>
            <w:left w:val="none" w:sz="0" w:space="0" w:color="auto"/>
            <w:bottom w:val="none" w:sz="0" w:space="0" w:color="auto"/>
            <w:right w:val="none" w:sz="0" w:space="0" w:color="auto"/>
          </w:divBdr>
        </w:div>
        <w:div w:id="1465585747">
          <w:marLeft w:val="0"/>
          <w:marRight w:val="0"/>
          <w:marTop w:val="0"/>
          <w:marBottom w:val="101"/>
          <w:divBdr>
            <w:top w:val="none" w:sz="0" w:space="0" w:color="auto"/>
            <w:left w:val="none" w:sz="0" w:space="0" w:color="auto"/>
            <w:bottom w:val="none" w:sz="0" w:space="0" w:color="auto"/>
            <w:right w:val="none" w:sz="0" w:space="0" w:color="auto"/>
          </w:divBdr>
        </w:div>
        <w:div w:id="1065298255">
          <w:marLeft w:val="0"/>
          <w:marRight w:val="0"/>
          <w:marTop w:val="0"/>
          <w:marBottom w:val="101"/>
          <w:divBdr>
            <w:top w:val="none" w:sz="0" w:space="0" w:color="auto"/>
            <w:left w:val="none" w:sz="0" w:space="0" w:color="auto"/>
            <w:bottom w:val="none" w:sz="0" w:space="0" w:color="auto"/>
            <w:right w:val="none" w:sz="0" w:space="0" w:color="auto"/>
          </w:divBdr>
        </w:div>
        <w:div w:id="1547067294">
          <w:marLeft w:val="0"/>
          <w:marRight w:val="0"/>
          <w:marTop w:val="0"/>
          <w:marBottom w:val="101"/>
          <w:divBdr>
            <w:top w:val="none" w:sz="0" w:space="0" w:color="auto"/>
            <w:left w:val="none" w:sz="0" w:space="0" w:color="auto"/>
            <w:bottom w:val="none" w:sz="0" w:space="0" w:color="auto"/>
            <w:right w:val="none" w:sz="0" w:space="0" w:color="auto"/>
          </w:divBdr>
        </w:div>
        <w:div w:id="1345783484">
          <w:marLeft w:val="0"/>
          <w:marRight w:val="0"/>
          <w:marTop w:val="0"/>
          <w:marBottom w:val="101"/>
          <w:divBdr>
            <w:top w:val="none" w:sz="0" w:space="0" w:color="auto"/>
            <w:left w:val="none" w:sz="0" w:space="0" w:color="auto"/>
            <w:bottom w:val="none" w:sz="0" w:space="0" w:color="auto"/>
            <w:right w:val="none" w:sz="0" w:space="0" w:color="auto"/>
          </w:divBdr>
        </w:div>
        <w:div w:id="1767455289">
          <w:marLeft w:val="0"/>
          <w:marRight w:val="0"/>
          <w:marTop w:val="0"/>
          <w:marBottom w:val="101"/>
          <w:divBdr>
            <w:top w:val="none" w:sz="0" w:space="0" w:color="auto"/>
            <w:left w:val="none" w:sz="0" w:space="0" w:color="auto"/>
            <w:bottom w:val="none" w:sz="0" w:space="0" w:color="auto"/>
            <w:right w:val="none" w:sz="0" w:space="0" w:color="auto"/>
          </w:divBdr>
        </w:div>
        <w:div w:id="1021013352">
          <w:marLeft w:val="864"/>
          <w:marRight w:val="0"/>
          <w:marTop w:val="0"/>
          <w:marBottom w:val="101"/>
          <w:divBdr>
            <w:top w:val="none" w:sz="0" w:space="0" w:color="auto"/>
            <w:left w:val="none" w:sz="0" w:space="0" w:color="auto"/>
            <w:bottom w:val="none" w:sz="0" w:space="0" w:color="auto"/>
            <w:right w:val="none" w:sz="0" w:space="0" w:color="auto"/>
          </w:divBdr>
        </w:div>
        <w:div w:id="1520925728">
          <w:marLeft w:val="864"/>
          <w:marRight w:val="0"/>
          <w:marTop w:val="0"/>
          <w:marBottom w:val="101"/>
          <w:divBdr>
            <w:top w:val="none" w:sz="0" w:space="0" w:color="auto"/>
            <w:left w:val="none" w:sz="0" w:space="0" w:color="auto"/>
            <w:bottom w:val="none" w:sz="0" w:space="0" w:color="auto"/>
            <w:right w:val="none" w:sz="0" w:space="0" w:color="auto"/>
          </w:divBdr>
        </w:div>
        <w:div w:id="1945842521">
          <w:marLeft w:val="864"/>
          <w:marRight w:val="0"/>
          <w:marTop w:val="0"/>
          <w:marBottom w:val="101"/>
          <w:divBdr>
            <w:top w:val="none" w:sz="0" w:space="0" w:color="auto"/>
            <w:left w:val="none" w:sz="0" w:space="0" w:color="auto"/>
            <w:bottom w:val="none" w:sz="0" w:space="0" w:color="auto"/>
            <w:right w:val="none" w:sz="0" w:space="0" w:color="auto"/>
          </w:divBdr>
        </w:div>
        <w:div w:id="1962609836">
          <w:marLeft w:val="0"/>
          <w:marRight w:val="0"/>
          <w:marTop w:val="0"/>
          <w:marBottom w:val="101"/>
          <w:divBdr>
            <w:top w:val="none" w:sz="0" w:space="0" w:color="auto"/>
            <w:left w:val="none" w:sz="0" w:space="0" w:color="auto"/>
            <w:bottom w:val="none" w:sz="0" w:space="0" w:color="auto"/>
            <w:right w:val="none" w:sz="0" w:space="0" w:color="auto"/>
          </w:divBdr>
        </w:div>
        <w:div w:id="56618604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14640</Words>
  <Characters>80525</Characters>
  <Application>Microsoft Office Word</Application>
  <DocSecurity>0</DocSecurity>
  <Lines>671</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2023-03-03T15:03:00Z</dcterms:created>
  <dcterms:modified xsi:type="dcterms:W3CDTF">2023-03-03T15:05:00Z</dcterms:modified>
</cp:coreProperties>
</file>