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Tamaulipas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TAMAULIPAS.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del Estado de </w:t>
      </w:r>
      <w:r w:rsidDel="00000000" w:rsidR="00000000" w:rsidRPr="00000000">
        <w:rPr>
          <w:rFonts w:ascii="Verdana" w:cs="Verdana" w:eastAsia="Verdana" w:hAnsi="Verdana"/>
          <w:b w:val="1"/>
          <w:color w:val="2f2f2f"/>
          <w:sz w:val="20"/>
          <w:szCs w:val="20"/>
          <w:rtl w:val="0"/>
        </w:rPr>
        <w:t xml:space="preserve">Tamaulipas</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se mantiene fija en el tiempo, en función del porcentaje que cada Entidad obtuvo durante el ejercicio 2014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Tamaulipas</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1, 4, 77, 91, fracciones I, V, XX y XXI y 95 de la Constitución Política del Estado de Tamaulipas; 2, 3, 7, 10, 23, fracciones II y III, 25 y 26 XXVI de la Ley Orgánica de la Administración Pública del Estado de Tamaulipas, y 2, 5 y 34, fracciones I y II del Código Fiscal del Estado de Tamaulipas, ambas partes</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Tamaulipas</w:t>
      </w:r>
      <w:r w:rsidDel="00000000" w:rsidR="00000000" w:rsidRPr="00000000">
        <w:rPr>
          <w:rFonts w:ascii="Verdana" w:cs="Verdana" w:eastAsia="Verdana" w:hAnsi="Verdana"/>
          <w:color w:val="2f2f2f"/>
          <w:sz w:val="20"/>
          <w:szCs w:val="20"/>
          <w:rtl w:val="0"/>
        </w:rPr>
        <w:t xml:space="preserve"> para quedar de la siguiente manera: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w:t>
      </w:r>
    </w:p>
    <w:p w:rsidR="00000000" w:rsidDel="00000000" w:rsidP="00000000" w:rsidRDefault="00000000" w:rsidRPr="00000000" w14:paraId="00000018">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 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30 de marzo 2020.- Por el Estado: el Gobernador Constitucional, </w:t>
      </w:r>
      <w:r w:rsidDel="00000000" w:rsidR="00000000" w:rsidRPr="00000000">
        <w:rPr>
          <w:rFonts w:ascii="Verdana" w:cs="Verdana" w:eastAsia="Verdana" w:hAnsi="Verdana"/>
          <w:b w:val="1"/>
          <w:color w:val="2f2f2f"/>
          <w:sz w:val="20"/>
          <w:szCs w:val="20"/>
          <w:rtl w:val="0"/>
        </w:rPr>
        <w:t xml:space="preserve">Francisco Javier García Cabeza de Vaca</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César Augusto Verastegui Ostos</w:t>
      </w:r>
      <w:r w:rsidDel="00000000" w:rsidR="00000000" w:rsidRPr="00000000">
        <w:rPr>
          <w:rFonts w:ascii="Verdana" w:cs="Verdana" w:eastAsia="Verdana" w:hAnsi="Verdana"/>
          <w:color w:val="2f2f2f"/>
          <w:sz w:val="20"/>
          <w:szCs w:val="20"/>
          <w:rtl w:val="0"/>
        </w:rPr>
        <w:t xml:space="preserve">.- Rúbrica.- La Secretaria de Finanzas, </w:t>
      </w:r>
      <w:r w:rsidDel="00000000" w:rsidR="00000000" w:rsidRPr="00000000">
        <w:rPr>
          <w:rFonts w:ascii="Verdana" w:cs="Verdana" w:eastAsia="Verdana" w:hAnsi="Verdana"/>
          <w:b w:val="1"/>
          <w:color w:val="2f2f2f"/>
          <w:sz w:val="20"/>
          <w:szCs w:val="20"/>
          <w:rtl w:val="0"/>
        </w:rPr>
        <w:t xml:space="preserve">María de Lourdes Arteaga Reyna</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