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E1" w:rsidRPr="00841D9A" w:rsidRDefault="004544E1" w:rsidP="004544E1">
      <w:pPr>
        <w:jc w:val="center"/>
        <w:rPr>
          <w:rFonts w:ascii="Verdana" w:eastAsia="Verdana" w:hAnsi="Verdana" w:cs="Verdana"/>
          <w:b/>
          <w:color w:val="0000FF"/>
          <w:sz w:val="24"/>
          <w:szCs w:val="24"/>
        </w:rPr>
      </w:pPr>
      <w:r w:rsidRPr="004544E1">
        <w:rPr>
          <w:rFonts w:ascii="Verdana" w:eastAsia="Verdana" w:hAnsi="Verdana" w:cs="Verdana"/>
          <w:b/>
          <w:color w:val="0000FF"/>
          <w:sz w:val="24"/>
          <w:szCs w:val="24"/>
        </w:rPr>
        <w:t>ACUERDO General 51/2022 del Pleno del Consejo de la Judicatura Federal, relativo a la conclusión de funciones del Primer, Segundo, Tercer, Cuarto y Quinto Tribunales Unitarios del Tercer Circuito, con residencia en Zapopan, Jalisco; y del Sexto Tribunal Unitario del Tercer Circuito, con residencia en Guadalajara, Jalisco; y al cambio de denominación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noviembre</w:t>
      </w:r>
      <w:r w:rsidRPr="00841D9A">
        <w:rPr>
          <w:rFonts w:ascii="Verdana" w:eastAsia="Verdana" w:hAnsi="Verdana" w:cs="Verdana"/>
          <w:b/>
          <w:color w:val="0000FF"/>
          <w:sz w:val="24"/>
          <w:szCs w:val="24"/>
        </w:rPr>
        <w:t xml:space="preserve"> de 2022)</w:t>
      </w:r>
    </w:p>
    <w:bookmarkEnd w:id="0"/>
    <w:p w:rsidR="004544E1" w:rsidRDefault="004544E1" w:rsidP="004544E1">
      <w:pPr>
        <w:jc w:val="both"/>
        <w:rPr>
          <w:rFonts w:ascii="Arial" w:hAnsi="Arial" w:cs="Arial"/>
          <w:b/>
          <w:color w:val="2F2F2F"/>
          <w:sz w:val="18"/>
          <w:szCs w:val="18"/>
          <w:shd w:val="clear" w:color="auto" w:fill="FFFFFF"/>
        </w:rPr>
      </w:pPr>
      <w:r w:rsidRPr="00F97FD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6"/>
          <w:szCs w:val="16"/>
          <w:lang w:eastAsia="es-MX"/>
        </w:rPr>
      </w:pPr>
      <w:r w:rsidRPr="004544E1">
        <w:rPr>
          <w:rFonts w:ascii="Arial" w:eastAsia="Times New Roman" w:hAnsi="Arial" w:cs="Arial"/>
          <w:color w:val="2F2F2F"/>
          <w:sz w:val="16"/>
          <w:szCs w:val="16"/>
          <w:lang w:eastAsia="es-MX"/>
        </w:rPr>
        <w:t>ACUERDO GENERAL 51/2022, DEL PLENO DEL CONSEJO DE LA JUDICATURA FEDERAL, RELATIVO A LA CONCLUSIÓN DE FUNCIONES DEL PRIMER, SEGUNDO, TERCER, CUARTO Y QUINTO TRIBUNALES UNITARIOS DEL TERCER CIRCUITO, CON RESIDENCIA EN ZAPOPAN, JALISCO; Y DEL SEXTO TRIBUNAL UNITARIO DEL TERCER CIRCUITO, CON RESIDENCIA EN GUADALAJARA, JALISCO; Y AL CAMBIO DE DENOMINACIÓN DE LA OFICINA DE CORRESPONDENCIA COMÚN QUE LES PRESTA SERVICIO.</w:t>
      </w:r>
    </w:p>
    <w:p w:rsidR="004544E1" w:rsidRPr="004544E1" w:rsidRDefault="004544E1" w:rsidP="004544E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44E1">
        <w:rPr>
          <w:rFonts w:ascii="Times" w:eastAsia="Times New Roman" w:hAnsi="Times" w:cs="Times New Roman"/>
          <w:b/>
          <w:bCs/>
          <w:color w:val="2F2F2F"/>
          <w:sz w:val="18"/>
          <w:szCs w:val="18"/>
          <w:lang w:eastAsia="es-MX"/>
        </w:rPr>
        <w:t>CONSIDERANDO</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PRIMERO.</w:t>
      </w:r>
      <w:r w:rsidRPr="004544E1">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SEGUNDO.</w:t>
      </w:r>
      <w:r w:rsidRPr="004544E1">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TERCERO.</w:t>
      </w:r>
      <w:r w:rsidRPr="004544E1">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CUARTO.</w:t>
      </w:r>
      <w:r w:rsidRPr="004544E1">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w:t>
      </w:r>
      <w:proofErr w:type="gramStart"/>
      <w:r w:rsidRPr="004544E1">
        <w:rPr>
          <w:rFonts w:ascii="Arial" w:eastAsia="Times New Roman" w:hAnsi="Arial" w:cs="Arial"/>
          <w:color w:val="2F2F2F"/>
          <w:sz w:val="18"/>
          <w:szCs w:val="18"/>
          <w:lang w:eastAsia="es-MX"/>
        </w:rPr>
        <w:t>Mexicanos</w:t>
      </w:r>
      <w:proofErr w:type="gramEnd"/>
      <w:r w:rsidRPr="004544E1">
        <w:rPr>
          <w:rFonts w:ascii="Arial" w:eastAsia="Times New Roman" w:hAnsi="Arial" w:cs="Arial"/>
          <w:color w:val="2F2F2F"/>
          <w:sz w:val="18"/>
          <w:szCs w:val="18"/>
          <w:lang w:eastAsia="es-MX"/>
        </w:rPr>
        <w:t>,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debe haber al menos uno de éstos;</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QUINTO.</w:t>
      </w:r>
      <w:r w:rsidRPr="004544E1">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SEXTO. </w:t>
      </w:r>
      <w:r w:rsidRPr="004544E1">
        <w:rPr>
          <w:rFonts w:ascii="Arial" w:eastAsia="Times New Roman" w:hAnsi="Arial" w:cs="Arial"/>
          <w:color w:val="2F2F2F"/>
          <w:sz w:val="18"/>
          <w:szCs w:val="18"/>
          <w:lang w:eastAsia="es-MX"/>
        </w:rPr>
        <w:t>El Pleno del Consejo de la Judicatura Federal, en sesión de 9 de noviembre de 2022, aprobó el Dictamen relativo a la conclusión de funciones de los Tribunales Unitarios del Tercer Circuito con residencia en Zapopan y en Guadalajara.</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color w:val="2F2F2F"/>
          <w:sz w:val="18"/>
          <w:szCs w:val="18"/>
          <w:lang w:eastAsia="es-MX"/>
        </w:rPr>
        <w:t>Por lo anterior, se expide el siguiente</w:t>
      </w:r>
    </w:p>
    <w:p w:rsidR="004544E1" w:rsidRPr="004544E1" w:rsidRDefault="004544E1" w:rsidP="004544E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44E1">
        <w:rPr>
          <w:rFonts w:ascii="Times" w:eastAsia="Times New Roman" w:hAnsi="Times" w:cs="Times New Roman"/>
          <w:b/>
          <w:bCs/>
          <w:color w:val="2F2F2F"/>
          <w:sz w:val="18"/>
          <w:szCs w:val="18"/>
          <w:lang w:eastAsia="es-MX"/>
        </w:rPr>
        <w:t>ACUERDO</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Artículo 1.</w:t>
      </w:r>
      <w:r w:rsidRPr="004544E1">
        <w:rPr>
          <w:rFonts w:ascii="Arial" w:eastAsia="Times New Roman" w:hAnsi="Arial" w:cs="Arial"/>
          <w:color w:val="2F2F2F"/>
          <w:sz w:val="18"/>
          <w:szCs w:val="18"/>
          <w:lang w:eastAsia="es-MX"/>
        </w:rPr>
        <w:t> El Primer, Segundo, Tercer, Cuarto y Quinto Tribunales Unitarios del Tercer Circuito, con residencia en Zapopan; y el Sexto Tribunal Unitario del Tercer Circuito, con residencia en Guadalajara, todos en el estado de Jalisco, concluyen funciones a las veinticuatro horas del 30 de noviembre de 2022.</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lastRenderedPageBreak/>
        <w:t>Artículo 2.</w:t>
      </w:r>
      <w:r w:rsidRPr="004544E1">
        <w:rPr>
          <w:rFonts w:ascii="Arial" w:eastAsia="Times New Roman" w:hAnsi="Arial" w:cs="Arial"/>
          <w:color w:val="2F2F2F"/>
          <w:sz w:val="18"/>
          <w:szCs w:val="18"/>
          <w:lang w:eastAsia="es-MX"/>
        </w:rPr>
        <w:t>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Tercer Circuito que corresponda, para su recepción una vez que inicien funciones.</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Artículo 3.</w:t>
      </w:r>
      <w:r w:rsidRPr="004544E1">
        <w:rPr>
          <w:rFonts w:ascii="Arial" w:eastAsia="Times New Roman" w:hAnsi="Arial" w:cs="Arial"/>
          <w:color w:val="2F2F2F"/>
          <w:sz w:val="18"/>
          <w:szCs w:val="18"/>
          <w:lang w:eastAsia="es-MX"/>
        </w:rPr>
        <w:t> Los Tribunales Unitarios de Circuito del Tercer Circuito remitirán los asuntos de su índice al Tribunal Colegiado de Apelación que corresponda, en términos de las disposiciones siguientes, de forma que se reciban el día de su inicio de funciones, para continuar con el trámite hasta su conclusión, cumplimentación, en su caso, y archivo definitivo.</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Artículo 4.</w:t>
      </w:r>
      <w:r w:rsidRPr="004544E1">
        <w:rPr>
          <w:rFonts w:ascii="Arial" w:eastAsia="Times New Roman" w:hAnsi="Arial" w:cs="Arial"/>
          <w:color w:val="2F2F2F"/>
          <w:sz w:val="18"/>
          <w:szCs w:val="18"/>
          <w:lang w:eastAsia="es-MX"/>
        </w:rPr>
        <w:t> Del 24 al 29 de noviembre de 2022, los Tribunales Unitarios de Circuito enviarán a la Oficina de Correspondencia Común la relación de su índice y, una vez que cambie de denominación, los distribuya de forma equitativa entre los dos Tribunales Colegiados de Apelación.</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Artículo 5.</w:t>
      </w:r>
      <w:r w:rsidRPr="004544E1">
        <w:rPr>
          <w:rFonts w:ascii="Arial" w:eastAsia="Times New Roman" w:hAnsi="Arial" w:cs="Arial"/>
          <w:color w:val="2F2F2F"/>
          <w:sz w:val="18"/>
          <w:szCs w:val="18"/>
          <w:lang w:eastAsia="es-MX"/>
        </w:rPr>
        <w:t> Para la distribución de los asuntos en trámite, la Oficina de Correspondencia Común, con apoyo de la Dirección General de Gestión Judicial, deberá considerar la complejidad de los asuntos establecida por los propios Tribunales Unitarios de Circuito que se extinguen, para lo cual éstos atenderán de manera enunciativa al número de personas imputadas en cada causa penal, el número de delitos involucrados en la causa, el tipo de delitos de que se trate, el número de recursos que se han presentado, el número de tomos que integren el expediente o las características en general de la apelación o amparo.</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Artículo 6.</w:t>
      </w:r>
      <w:r w:rsidRPr="004544E1">
        <w:rPr>
          <w:rFonts w:ascii="Arial" w:eastAsia="Times New Roman" w:hAnsi="Arial" w:cs="Arial"/>
          <w:color w:val="2F2F2F"/>
          <w:sz w:val="18"/>
          <w:szCs w:val="18"/>
          <w:lang w:eastAsia="es-MX"/>
        </w:rPr>
        <w:t> Se cuidará que los expedientes relacionados materia de la distribución se repartan a un mismo Tribunal Colegiado de Apelación, de conformidad con lo previsto en los artículos 45 y 46 del Acuerdo General del Pleno del Consejo de la Judicatura Federal que establece las disposiciones en materia de actividad administrativa de los órganos jurisdiccionales.</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color w:val="2F2F2F"/>
          <w:sz w:val="18"/>
          <w:szCs w:val="18"/>
          <w:lang w:eastAsia="es-MX"/>
        </w:rPr>
        <w:t>La Oficina de Correspondencia Común elaborará una relación de los asuntos en trámite en la que conste su origen y destino, que enviará a la Dirección General de Gestión Judicial, quien la remitirá a la Fiscalía General de la República para los efectos conducentes.</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Artículo 7.</w:t>
      </w:r>
      <w:r w:rsidRPr="004544E1">
        <w:rPr>
          <w:rFonts w:ascii="Arial" w:eastAsia="Times New Roman" w:hAnsi="Arial" w:cs="Arial"/>
          <w:color w:val="2F2F2F"/>
          <w:sz w:val="18"/>
          <w:szCs w:val="18"/>
          <w:lang w:eastAsia="es-MX"/>
        </w:rPr>
        <w:t> Al día siguiente de la fecha precisada en el artículo 1 de este Acuerdo, la Oficina de Correspondencia Común de los Tribunales Unitarios del Tercer Circuito cambia su denominación a Oficina de Correspondencia Común de los Tribunales Colegiados de Apelación del Tercer Circuito.</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Artículo 8. </w:t>
      </w:r>
      <w:r w:rsidRPr="004544E1">
        <w:rPr>
          <w:rFonts w:ascii="Arial" w:eastAsia="Times New Roman" w:hAnsi="Arial" w:cs="Arial"/>
          <w:color w:val="2F2F2F"/>
          <w:sz w:val="18"/>
          <w:szCs w:val="18"/>
          <w:lang w:eastAsia="es-MX"/>
        </w:rPr>
        <w:t>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4544E1" w:rsidRPr="004544E1" w:rsidRDefault="004544E1" w:rsidP="004544E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44E1">
        <w:rPr>
          <w:rFonts w:ascii="Times" w:eastAsia="Times New Roman" w:hAnsi="Times" w:cs="Times New Roman"/>
          <w:b/>
          <w:bCs/>
          <w:color w:val="2F2F2F"/>
          <w:sz w:val="18"/>
          <w:szCs w:val="18"/>
          <w:lang w:eastAsia="es-MX"/>
        </w:rPr>
        <w:t>TRANSITORIOS</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PRIMERO.</w:t>
      </w:r>
      <w:r w:rsidRPr="004544E1">
        <w:rPr>
          <w:rFonts w:ascii="Arial" w:eastAsia="Times New Roman" w:hAnsi="Arial" w:cs="Arial"/>
          <w:color w:val="2F2F2F"/>
          <w:sz w:val="18"/>
          <w:szCs w:val="18"/>
          <w:lang w:eastAsia="es-MX"/>
        </w:rPr>
        <w:t> El presente Acuerdo entrará en vigor el día de su aprobación.</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SEGUNDO.</w:t>
      </w:r>
      <w:r w:rsidRPr="004544E1">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TERCERO.</w:t>
      </w:r>
      <w:r w:rsidRPr="004544E1">
        <w:rPr>
          <w:rFonts w:ascii="Arial" w:eastAsia="Times New Roman" w:hAnsi="Arial" w:cs="Arial"/>
          <w:color w:val="2F2F2F"/>
          <w:sz w:val="18"/>
          <w:szCs w:val="18"/>
          <w:lang w:eastAsia="es-MX"/>
        </w:rPr>
        <w:t> La Secretaría Ejecutiva de Creación de Nuevos Órganos; la Dirección General de Servicios Generales;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8"/>
          <w:szCs w:val="18"/>
          <w:lang w:eastAsia="es-MX"/>
        </w:rPr>
      </w:pPr>
      <w:r w:rsidRPr="004544E1">
        <w:rPr>
          <w:rFonts w:ascii="Arial" w:eastAsia="Times New Roman" w:hAnsi="Arial" w:cs="Arial"/>
          <w:b/>
          <w:bCs/>
          <w:color w:val="2F2F2F"/>
          <w:sz w:val="18"/>
          <w:szCs w:val="18"/>
          <w:lang w:eastAsia="es-MX"/>
        </w:rPr>
        <w:t>CUARTO. </w:t>
      </w:r>
      <w:r w:rsidRPr="004544E1">
        <w:rPr>
          <w:rFonts w:ascii="Arial" w:eastAsia="Times New Roman" w:hAnsi="Arial" w:cs="Arial"/>
          <w:color w:val="2F2F2F"/>
          <w:sz w:val="18"/>
          <w:szCs w:val="18"/>
          <w:lang w:eastAsia="es-MX"/>
        </w:rPr>
        <w:t>Los Tribunales Unitarios del Tercer Circuito publicarán en lugares visibles, para conocimiento del público en general, un aviso donde se informe lo determinado en el presente Acuerdo, que de manera relevante señale su conclusión de funciones y la creación de los Tribunales Colegiados de Apelación del Tercer Circuito. La administración correspondiente mantendrá los avisos hasta dos meses después de la conclusión de funciones de los Tribunales Unitarios de que se trata.</w:t>
      </w:r>
    </w:p>
    <w:p w:rsidR="004544E1" w:rsidRPr="004544E1" w:rsidRDefault="004544E1" w:rsidP="004544E1">
      <w:pPr>
        <w:shd w:val="clear" w:color="auto" w:fill="FFFFFF"/>
        <w:spacing w:after="101" w:line="240" w:lineRule="auto"/>
        <w:ind w:firstLine="288"/>
        <w:jc w:val="both"/>
        <w:rPr>
          <w:rFonts w:ascii="Arial" w:eastAsia="Times New Roman" w:hAnsi="Arial" w:cs="Arial"/>
          <w:color w:val="2F2F2F"/>
          <w:sz w:val="16"/>
          <w:szCs w:val="16"/>
          <w:lang w:eastAsia="es-MX"/>
        </w:rPr>
      </w:pPr>
      <w:r w:rsidRPr="004544E1">
        <w:rPr>
          <w:rFonts w:ascii="Arial" w:eastAsia="Times New Roman" w:hAnsi="Arial" w:cs="Arial"/>
          <w:color w:val="2F2F2F"/>
          <w:sz w:val="16"/>
          <w:szCs w:val="16"/>
          <w:lang w:eastAsia="es-MX"/>
        </w:rPr>
        <w:t>EL LICENCIADO </w:t>
      </w:r>
      <w:r w:rsidRPr="004544E1">
        <w:rPr>
          <w:rFonts w:ascii="Arial" w:eastAsia="Times New Roman" w:hAnsi="Arial" w:cs="Arial"/>
          <w:b/>
          <w:bCs/>
          <w:color w:val="2F2F2F"/>
          <w:sz w:val="16"/>
          <w:szCs w:val="16"/>
          <w:lang w:eastAsia="es-MX"/>
        </w:rPr>
        <w:t>ARTURO GUERRERO ZAZUETA</w:t>
      </w:r>
      <w:r w:rsidRPr="004544E1">
        <w:rPr>
          <w:rFonts w:ascii="Arial" w:eastAsia="Times New Roman" w:hAnsi="Arial" w:cs="Arial"/>
          <w:color w:val="2F2F2F"/>
          <w:sz w:val="16"/>
          <w:szCs w:val="16"/>
          <w:lang w:eastAsia="es-MX"/>
        </w:rPr>
        <w:t xml:space="preserve">, SECRETARIO EJECUTIVO DEL PLENO DEL CONSEJO DE LA JUDICATURA FEDERAL, CERTIFICA: Que este Acuerdo General 51/2022, del Pleno del Consejo de la Judicatura Federal, relativo a la conclusión de funciones del Primer, Segundo, Tercer, Cuarto y Quinto tribunales </w:t>
      </w:r>
      <w:r w:rsidRPr="004544E1">
        <w:rPr>
          <w:rFonts w:ascii="Arial" w:eastAsia="Times New Roman" w:hAnsi="Arial" w:cs="Arial"/>
          <w:color w:val="2F2F2F"/>
          <w:sz w:val="16"/>
          <w:szCs w:val="16"/>
          <w:lang w:eastAsia="es-MX"/>
        </w:rPr>
        <w:lastRenderedPageBreak/>
        <w:t xml:space="preserve">unitarios del tercer Circuito, con residencia en Zapopan, Jalisco; y del Sexto tribunal unitario del tercer Circuito, con residencia en Guadalajara, Jalisco; y al cambio de denominación de la oficina de correspondencia común que les presta servicio, fue aprobado por el Pleno del propio Consejo, en sesión ordinaria de 9 de noviembre de 2022, por unanimidad de votos de los señores Consejeros: Presidente Ministro Arturo Zaldívar Lelo de Larrea, Bernardo </w:t>
      </w:r>
      <w:proofErr w:type="spellStart"/>
      <w:r w:rsidRPr="004544E1">
        <w:rPr>
          <w:rFonts w:ascii="Arial" w:eastAsia="Times New Roman" w:hAnsi="Arial" w:cs="Arial"/>
          <w:color w:val="2F2F2F"/>
          <w:sz w:val="16"/>
          <w:szCs w:val="16"/>
          <w:lang w:eastAsia="es-MX"/>
        </w:rPr>
        <w:t>Bátiz</w:t>
      </w:r>
      <w:proofErr w:type="spellEnd"/>
      <w:r w:rsidRPr="004544E1">
        <w:rPr>
          <w:rFonts w:ascii="Arial" w:eastAsia="Times New Roman" w:hAnsi="Arial" w:cs="Arial"/>
          <w:color w:val="2F2F2F"/>
          <w:sz w:val="16"/>
          <w:szCs w:val="16"/>
          <w:lang w:eastAsia="es-MX"/>
        </w:rPr>
        <w:t xml:space="preserve"> Vázquez, Eva Verónica de </w:t>
      </w:r>
      <w:proofErr w:type="spellStart"/>
      <w:r w:rsidRPr="004544E1">
        <w:rPr>
          <w:rFonts w:ascii="Arial" w:eastAsia="Times New Roman" w:hAnsi="Arial" w:cs="Arial"/>
          <w:color w:val="2F2F2F"/>
          <w:sz w:val="16"/>
          <w:szCs w:val="16"/>
          <w:lang w:eastAsia="es-MX"/>
        </w:rPr>
        <w:t>Gyvés</w:t>
      </w:r>
      <w:proofErr w:type="spellEnd"/>
      <w:r w:rsidRPr="004544E1">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BE432A" w:rsidRDefault="00BE432A"/>
    <w:sectPr w:rsidR="00BE43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E1"/>
    <w:rsid w:val="004544E1"/>
    <w:rsid w:val="00BE4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653082">
      <w:bodyDiv w:val="1"/>
      <w:marLeft w:val="0"/>
      <w:marRight w:val="0"/>
      <w:marTop w:val="0"/>
      <w:marBottom w:val="0"/>
      <w:divBdr>
        <w:top w:val="none" w:sz="0" w:space="0" w:color="auto"/>
        <w:left w:val="none" w:sz="0" w:space="0" w:color="auto"/>
        <w:bottom w:val="none" w:sz="0" w:space="0" w:color="auto"/>
        <w:right w:val="none" w:sz="0" w:space="0" w:color="auto"/>
      </w:divBdr>
      <w:divsChild>
        <w:div w:id="1235243127">
          <w:marLeft w:val="0"/>
          <w:marRight w:val="0"/>
          <w:marTop w:val="0"/>
          <w:marBottom w:val="101"/>
          <w:divBdr>
            <w:top w:val="none" w:sz="0" w:space="0" w:color="auto"/>
            <w:left w:val="none" w:sz="0" w:space="0" w:color="auto"/>
            <w:bottom w:val="none" w:sz="0" w:space="0" w:color="auto"/>
            <w:right w:val="none" w:sz="0" w:space="0" w:color="auto"/>
          </w:divBdr>
        </w:div>
        <w:div w:id="2102599397">
          <w:marLeft w:val="0"/>
          <w:marRight w:val="0"/>
          <w:marTop w:val="101"/>
          <w:marBottom w:val="101"/>
          <w:divBdr>
            <w:top w:val="none" w:sz="0" w:space="0" w:color="auto"/>
            <w:left w:val="none" w:sz="0" w:space="0" w:color="auto"/>
            <w:bottom w:val="none" w:sz="0" w:space="0" w:color="auto"/>
            <w:right w:val="none" w:sz="0" w:space="0" w:color="auto"/>
          </w:divBdr>
        </w:div>
        <w:div w:id="1473476991">
          <w:marLeft w:val="0"/>
          <w:marRight w:val="0"/>
          <w:marTop w:val="0"/>
          <w:marBottom w:val="101"/>
          <w:divBdr>
            <w:top w:val="none" w:sz="0" w:space="0" w:color="auto"/>
            <w:left w:val="none" w:sz="0" w:space="0" w:color="auto"/>
            <w:bottom w:val="none" w:sz="0" w:space="0" w:color="auto"/>
            <w:right w:val="none" w:sz="0" w:space="0" w:color="auto"/>
          </w:divBdr>
        </w:div>
        <w:div w:id="412358323">
          <w:marLeft w:val="0"/>
          <w:marRight w:val="0"/>
          <w:marTop w:val="0"/>
          <w:marBottom w:val="101"/>
          <w:divBdr>
            <w:top w:val="none" w:sz="0" w:space="0" w:color="auto"/>
            <w:left w:val="none" w:sz="0" w:space="0" w:color="auto"/>
            <w:bottom w:val="none" w:sz="0" w:space="0" w:color="auto"/>
            <w:right w:val="none" w:sz="0" w:space="0" w:color="auto"/>
          </w:divBdr>
        </w:div>
        <w:div w:id="1349261042">
          <w:marLeft w:val="0"/>
          <w:marRight w:val="0"/>
          <w:marTop w:val="0"/>
          <w:marBottom w:val="101"/>
          <w:divBdr>
            <w:top w:val="none" w:sz="0" w:space="0" w:color="auto"/>
            <w:left w:val="none" w:sz="0" w:space="0" w:color="auto"/>
            <w:bottom w:val="none" w:sz="0" w:space="0" w:color="auto"/>
            <w:right w:val="none" w:sz="0" w:space="0" w:color="auto"/>
          </w:divBdr>
        </w:div>
        <w:div w:id="1112750138">
          <w:marLeft w:val="0"/>
          <w:marRight w:val="0"/>
          <w:marTop w:val="0"/>
          <w:marBottom w:val="101"/>
          <w:divBdr>
            <w:top w:val="none" w:sz="0" w:space="0" w:color="auto"/>
            <w:left w:val="none" w:sz="0" w:space="0" w:color="auto"/>
            <w:bottom w:val="none" w:sz="0" w:space="0" w:color="auto"/>
            <w:right w:val="none" w:sz="0" w:space="0" w:color="auto"/>
          </w:divBdr>
        </w:div>
        <w:div w:id="432476371">
          <w:marLeft w:val="0"/>
          <w:marRight w:val="0"/>
          <w:marTop w:val="0"/>
          <w:marBottom w:val="101"/>
          <w:divBdr>
            <w:top w:val="none" w:sz="0" w:space="0" w:color="auto"/>
            <w:left w:val="none" w:sz="0" w:space="0" w:color="auto"/>
            <w:bottom w:val="none" w:sz="0" w:space="0" w:color="auto"/>
            <w:right w:val="none" w:sz="0" w:space="0" w:color="auto"/>
          </w:divBdr>
        </w:div>
        <w:div w:id="1841700234">
          <w:marLeft w:val="0"/>
          <w:marRight w:val="0"/>
          <w:marTop w:val="0"/>
          <w:marBottom w:val="101"/>
          <w:divBdr>
            <w:top w:val="none" w:sz="0" w:space="0" w:color="auto"/>
            <w:left w:val="none" w:sz="0" w:space="0" w:color="auto"/>
            <w:bottom w:val="none" w:sz="0" w:space="0" w:color="auto"/>
            <w:right w:val="none" w:sz="0" w:space="0" w:color="auto"/>
          </w:divBdr>
        </w:div>
        <w:div w:id="950741070">
          <w:marLeft w:val="0"/>
          <w:marRight w:val="0"/>
          <w:marTop w:val="0"/>
          <w:marBottom w:val="101"/>
          <w:divBdr>
            <w:top w:val="none" w:sz="0" w:space="0" w:color="auto"/>
            <w:left w:val="none" w:sz="0" w:space="0" w:color="auto"/>
            <w:bottom w:val="none" w:sz="0" w:space="0" w:color="auto"/>
            <w:right w:val="none" w:sz="0" w:space="0" w:color="auto"/>
          </w:divBdr>
        </w:div>
        <w:div w:id="1471947246">
          <w:marLeft w:val="0"/>
          <w:marRight w:val="0"/>
          <w:marTop w:val="101"/>
          <w:marBottom w:val="101"/>
          <w:divBdr>
            <w:top w:val="none" w:sz="0" w:space="0" w:color="auto"/>
            <w:left w:val="none" w:sz="0" w:space="0" w:color="auto"/>
            <w:bottom w:val="none" w:sz="0" w:space="0" w:color="auto"/>
            <w:right w:val="none" w:sz="0" w:space="0" w:color="auto"/>
          </w:divBdr>
        </w:div>
        <w:div w:id="935360130">
          <w:marLeft w:val="0"/>
          <w:marRight w:val="0"/>
          <w:marTop w:val="0"/>
          <w:marBottom w:val="101"/>
          <w:divBdr>
            <w:top w:val="none" w:sz="0" w:space="0" w:color="auto"/>
            <w:left w:val="none" w:sz="0" w:space="0" w:color="auto"/>
            <w:bottom w:val="none" w:sz="0" w:space="0" w:color="auto"/>
            <w:right w:val="none" w:sz="0" w:space="0" w:color="auto"/>
          </w:divBdr>
        </w:div>
        <w:div w:id="2129859419">
          <w:marLeft w:val="0"/>
          <w:marRight w:val="0"/>
          <w:marTop w:val="0"/>
          <w:marBottom w:val="101"/>
          <w:divBdr>
            <w:top w:val="none" w:sz="0" w:space="0" w:color="auto"/>
            <w:left w:val="none" w:sz="0" w:space="0" w:color="auto"/>
            <w:bottom w:val="none" w:sz="0" w:space="0" w:color="auto"/>
            <w:right w:val="none" w:sz="0" w:space="0" w:color="auto"/>
          </w:divBdr>
        </w:div>
        <w:div w:id="270824386">
          <w:marLeft w:val="0"/>
          <w:marRight w:val="0"/>
          <w:marTop w:val="0"/>
          <w:marBottom w:val="101"/>
          <w:divBdr>
            <w:top w:val="none" w:sz="0" w:space="0" w:color="auto"/>
            <w:left w:val="none" w:sz="0" w:space="0" w:color="auto"/>
            <w:bottom w:val="none" w:sz="0" w:space="0" w:color="auto"/>
            <w:right w:val="none" w:sz="0" w:space="0" w:color="auto"/>
          </w:divBdr>
        </w:div>
        <w:div w:id="227542878">
          <w:marLeft w:val="0"/>
          <w:marRight w:val="0"/>
          <w:marTop w:val="0"/>
          <w:marBottom w:val="101"/>
          <w:divBdr>
            <w:top w:val="none" w:sz="0" w:space="0" w:color="auto"/>
            <w:left w:val="none" w:sz="0" w:space="0" w:color="auto"/>
            <w:bottom w:val="none" w:sz="0" w:space="0" w:color="auto"/>
            <w:right w:val="none" w:sz="0" w:space="0" w:color="auto"/>
          </w:divBdr>
        </w:div>
        <w:div w:id="729575741">
          <w:marLeft w:val="0"/>
          <w:marRight w:val="0"/>
          <w:marTop w:val="0"/>
          <w:marBottom w:val="101"/>
          <w:divBdr>
            <w:top w:val="none" w:sz="0" w:space="0" w:color="auto"/>
            <w:left w:val="none" w:sz="0" w:space="0" w:color="auto"/>
            <w:bottom w:val="none" w:sz="0" w:space="0" w:color="auto"/>
            <w:right w:val="none" w:sz="0" w:space="0" w:color="auto"/>
          </w:divBdr>
        </w:div>
        <w:div w:id="1269462989">
          <w:marLeft w:val="0"/>
          <w:marRight w:val="0"/>
          <w:marTop w:val="0"/>
          <w:marBottom w:val="101"/>
          <w:divBdr>
            <w:top w:val="none" w:sz="0" w:space="0" w:color="auto"/>
            <w:left w:val="none" w:sz="0" w:space="0" w:color="auto"/>
            <w:bottom w:val="none" w:sz="0" w:space="0" w:color="auto"/>
            <w:right w:val="none" w:sz="0" w:space="0" w:color="auto"/>
          </w:divBdr>
        </w:div>
        <w:div w:id="731735757">
          <w:marLeft w:val="0"/>
          <w:marRight w:val="0"/>
          <w:marTop w:val="0"/>
          <w:marBottom w:val="101"/>
          <w:divBdr>
            <w:top w:val="none" w:sz="0" w:space="0" w:color="auto"/>
            <w:left w:val="none" w:sz="0" w:space="0" w:color="auto"/>
            <w:bottom w:val="none" w:sz="0" w:space="0" w:color="auto"/>
            <w:right w:val="none" w:sz="0" w:space="0" w:color="auto"/>
          </w:divBdr>
        </w:div>
        <w:div w:id="1671179667">
          <w:marLeft w:val="0"/>
          <w:marRight w:val="0"/>
          <w:marTop w:val="0"/>
          <w:marBottom w:val="101"/>
          <w:divBdr>
            <w:top w:val="none" w:sz="0" w:space="0" w:color="auto"/>
            <w:left w:val="none" w:sz="0" w:space="0" w:color="auto"/>
            <w:bottom w:val="none" w:sz="0" w:space="0" w:color="auto"/>
            <w:right w:val="none" w:sz="0" w:space="0" w:color="auto"/>
          </w:divBdr>
        </w:div>
        <w:div w:id="1690596883">
          <w:marLeft w:val="0"/>
          <w:marRight w:val="0"/>
          <w:marTop w:val="0"/>
          <w:marBottom w:val="101"/>
          <w:divBdr>
            <w:top w:val="none" w:sz="0" w:space="0" w:color="auto"/>
            <w:left w:val="none" w:sz="0" w:space="0" w:color="auto"/>
            <w:bottom w:val="none" w:sz="0" w:space="0" w:color="auto"/>
            <w:right w:val="none" w:sz="0" w:space="0" w:color="auto"/>
          </w:divBdr>
        </w:div>
        <w:div w:id="1553229865">
          <w:marLeft w:val="0"/>
          <w:marRight w:val="0"/>
          <w:marTop w:val="0"/>
          <w:marBottom w:val="101"/>
          <w:divBdr>
            <w:top w:val="none" w:sz="0" w:space="0" w:color="auto"/>
            <w:left w:val="none" w:sz="0" w:space="0" w:color="auto"/>
            <w:bottom w:val="none" w:sz="0" w:space="0" w:color="auto"/>
            <w:right w:val="none" w:sz="0" w:space="0" w:color="auto"/>
          </w:divBdr>
        </w:div>
        <w:div w:id="275673229">
          <w:marLeft w:val="0"/>
          <w:marRight w:val="0"/>
          <w:marTop w:val="101"/>
          <w:marBottom w:val="101"/>
          <w:divBdr>
            <w:top w:val="none" w:sz="0" w:space="0" w:color="auto"/>
            <w:left w:val="none" w:sz="0" w:space="0" w:color="auto"/>
            <w:bottom w:val="none" w:sz="0" w:space="0" w:color="auto"/>
            <w:right w:val="none" w:sz="0" w:space="0" w:color="auto"/>
          </w:divBdr>
        </w:div>
        <w:div w:id="2104061608">
          <w:marLeft w:val="0"/>
          <w:marRight w:val="0"/>
          <w:marTop w:val="0"/>
          <w:marBottom w:val="101"/>
          <w:divBdr>
            <w:top w:val="none" w:sz="0" w:space="0" w:color="auto"/>
            <w:left w:val="none" w:sz="0" w:space="0" w:color="auto"/>
            <w:bottom w:val="none" w:sz="0" w:space="0" w:color="auto"/>
            <w:right w:val="none" w:sz="0" w:space="0" w:color="auto"/>
          </w:divBdr>
        </w:div>
        <w:div w:id="1335063959">
          <w:marLeft w:val="0"/>
          <w:marRight w:val="0"/>
          <w:marTop w:val="0"/>
          <w:marBottom w:val="101"/>
          <w:divBdr>
            <w:top w:val="none" w:sz="0" w:space="0" w:color="auto"/>
            <w:left w:val="none" w:sz="0" w:space="0" w:color="auto"/>
            <w:bottom w:val="none" w:sz="0" w:space="0" w:color="auto"/>
            <w:right w:val="none" w:sz="0" w:space="0" w:color="auto"/>
          </w:divBdr>
        </w:div>
        <w:div w:id="1446726584">
          <w:marLeft w:val="0"/>
          <w:marRight w:val="0"/>
          <w:marTop w:val="0"/>
          <w:marBottom w:val="101"/>
          <w:divBdr>
            <w:top w:val="none" w:sz="0" w:space="0" w:color="auto"/>
            <w:left w:val="none" w:sz="0" w:space="0" w:color="auto"/>
            <w:bottom w:val="none" w:sz="0" w:space="0" w:color="auto"/>
            <w:right w:val="none" w:sz="0" w:space="0" w:color="auto"/>
          </w:divBdr>
        </w:div>
        <w:div w:id="2074967108">
          <w:marLeft w:val="0"/>
          <w:marRight w:val="0"/>
          <w:marTop w:val="0"/>
          <w:marBottom w:val="101"/>
          <w:divBdr>
            <w:top w:val="none" w:sz="0" w:space="0" w:color="auto"/>
            <w:left w:val="none" w:sz="0" w:space="0" w:color="auto"/>
            <w:bottom w:val="none" w:sz="0" w:space="0" w:color="auto"/>
            <w:right w:val="none" w:sz="0" w:space="0" w:color="auto"/>
          </w:divBdr>
        </w:div>
        <w:div w:id="17622877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1505</Words>
  <Characters>8279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2022-11-29T15:04:00Z</dcterms:created>
  <dcterms:modified xsi:type="dcterms:W3CDTF">2022-11-29T15:06:00Z</dcterms:modified>
</cp:coreProperties>
</file>