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SO/III-20/12,S del Comité Técnico del Consejo Nacional de Normalización y Certificación de Competencias Laborales, mediante el cual se aprobaron los estándares de competencia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sz w:val="18"/>
          <w:szCs w:val="18"/>
        </w:rPr>
      </w:pPr>
      <w:r w:rsidDel="00000000" w:rsidR="00000000" w:rsidRPr="00000000">
        <w:rPr>
          <w:b w:val="1"/>
          <w:color w:val="2f2f2f"/>
          <w:sz w:val="18"/>
          <w:szCs w:val="18"/>
          <w:rtl w:val="0"/>
        </w:rPr>
        <w:t xml:space="preserve">Al margen un sello con el Escudo Nacional, que dice: Estados Unidos Mexicanos.- EDUCACIÓN.- Secretaría de Educación Pública.- </w:t>
      </w:r>
      <w:r w:rsidDel="00000000" w:rsidR="00000000" w:rsidRPr="00000000">
        <w:rPr>
          <w:b w:val="1"/>
          <w:sz w:val="18"/>
          <w:szCs w:val="18"/>
          <w:rtl w:val="0"/>
        </w:rPr>
        <w:t xml:space="preserve">Consejo Nacional de Normalización y Certificación de Competencias Laborales.</w:t>
      </w:r>
    </w:p>
    <w:p w:rsidR="00000000" w:rsidDel="00000000" w:rsidP="00000000" w:rsidRDefault="00000000" w:rsidRPr="00000000" w14:paraId="00000005">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COMITÉ TÉCNICO DEL CONSEJO NACIONAL DE NORMALIZACIÓN Y CERTIFICACIÓN DE COMPETENCIAS</w:t>
      </w:r>
    </w:p>
    <w:p w:rsidR="00000000" w:rsidDel="00000000" w:rsidP="00000000" w:rsidRDefault="00000000" w:rsidRPr="00000000" w14:paraId="00000006">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LABORALES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CONSTANCIA DE ACUERDO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Tercera Sesión Ordinaria de 2020, del Comité Técnico del Consejo Nacional de Normalización y Certificación de Competencias Laborales, celebrada el 08 de septiembre de 2020, se aprobó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SO/III-20/12,S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en los artículos 22, fracción III, 25, 26 y 27 de las Reglas Generales y Criterios para la Integración y Operación del Sistema Nacional de Competencias; y 8, fracción III, de su Estatuto Orgánico, este Comité Técnico aprueba los 38 Estándares de Competencia que se describen a continuación, cuyo contenido y apego a la normatividad vigente es responsabilidad exclusiva de la entidad:</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Aplicación de prácticas de higiene y desinfección por parte de los prestadores de servicios turísticos.</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al usuario basada en la cultura del buen trato.</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técnicas físicas, mentales y artísticas mediante la ejecución de prácticas para el desarrollo de habilidades socioemocionales, en cualquier contexto.</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Prestación de servicios de estimulación temprana individual y grupal en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centros de atención y desarrollo de niñas y niños de cuarenta y tres días a cuatro años de edad.</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inicial al usuario para la recepción de la denuncia conforme al modelo de atención diferenciada de la demanda.</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Revisión de las carpetas de investigación para analizar la procedencia de Mecanismos Alternativos de Solución de Controversias en materia penal.</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Aplicación de técnicas para el desarrollo del plan de supervisión de obligaciones judiciales en libertad.</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telefónica a solicitudes de apoyo en emergencias a través de la línea 9-1-1, conforme al Modelo COSMOS.</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Detección de las necesidades de protección integral de la persona adolescente a quien se atribuya la realización de una conducta tipificada como delito por las leyes penales y activación de los operadores asistenciales correspondientes.</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Elaboración de platillos aplicando técnicas culinarias de la cocina Queretana.</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Aplicación de uñas acrílicas en nivel avanzado.</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Aplicación de uñas postizas con sistema de gel.</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Inspección de la unidad automotriz en pista de pruebas.</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Operador de cabina del servicio de grúas.</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troqueles a través de software CAD/CAE.</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Desarrollo de software/sistema y aplicaciones informáticas.</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Coordinación de la administración y logística de almacenes en los sectores industriales, empresariales, bodegas y en la cadena de suministro de los centros de distribución de mercancías.</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de la logística de hidrocarburos.</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Mercadotecnia digital y comercialización transfronteriza.</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Elaboración de productos de pastelería.</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Ejecución de actividades con apego a la legalidad para prevenir la corrupción en los procesos de la cadena de suministros.</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Supervisión de la evaluación económica de medicamentos y tecnologías sanitarias.</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Supervisión de la evaluación técnica de medicamentos y tecnologías sanitarias.</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Realización del estudio de espirometría.</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Aplicación de las reglas para el otorgamiento del crédito a los/las trabajadores(as) derechohabientes del Infonavit en las diferentes alternativas de financiamiento.</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Asesoría en Seguridad Nacional/ Defensa Nacional/ Defensa Exterior para generar estrategias que atiendan a mitigar riesgos/ amenazas al país.</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Simulación numérica del oleaje de una zona de estudio mediante un modelo de tercera generación.</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Interpretación de simulaciones de procesos de producción.</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Elaboración del análisis sedimentológico de rocas carbonatadas.</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Microsoft Office Access Expert 2019.</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Microsoft Office Excel 2019.</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Microsoft Office Excel Expert 2019.</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Microsoft Office Outlook 2019.</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Microsoft Office PowerPoint 2019.</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Microsoft Office Word 2019.</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Microsoft Office Word Expert 2019.</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Web Authoring Using Adobe Dreamweaver.</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Visual Design using Adobe Photoshop.</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liga para consultar el listado de los EC publicados es la siguiente:</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https://conocer.gob.mx/contenido/publicaciones_dof/2020/tercera/</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presenta el código del Estándar de Competencia (EC), una descripción general del mismo y la liga para consultar el contenido del EC:</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7065"/>
        <w:tblGridChange w:id="0">
          <w:tblGrid>
            <w:gridCol w:w="1755"/>
            <w:gridCol w:w="7065"/>
          </w:tblGrid>
        </w:tblGridChange>
      </w:tblGrid>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220" w:firstLine="0"/>
              <w:jc w:val="both"/>
              <w:rPr>
                <w:sz w:val="18"/>
                <w:szCs w:val="18"/>
              </w:rPr>
            </w:pPr>
            <w:r w:rsidDel="00000000" w:rsidR="00000000" w:rsidRPr="00000000">
              <w:rPr>
                <w:sz w:val="18"/>
                <w:szCs w:val="18"/>
                <w:rtl w:val="0"/>
              </w:rPr>
              <w:t xml:space="preserve">EC1267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sz w:val="18"/>
                <w:szCs w:val="18"/>
              </w:rPr>
            </w:pPr>
            <w:r w:rsidDel="00000000" w:rsidR="00000000" w:rsidRPr="00000000">
              <w:rPr>
                <w:sz w:val="18"/>
                <w:szCs w:val="18"/>
                <w:rtl w:val="0"/>
              </w:rPr>
              <w:t xml:space="preserve">Aplicación de prácticas de higiene y desinfección por parte de los prestadores de servicios turísticos.</w:t>
            </w:r>
          </w:p>
        </w:tc>
      </w:tr>
    </w:tbl>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estándar describe los protocolos de limpieza, desinfección, medidas de distancia entre personas, así como el uso de equipo de protección personal establecidos en los lineamientos y normativas vigentes. Estos protocolos se deben de mantener antes, durante y al finalizar su jornada laboral.</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https://www.conocer.gob.mx/contenido/publicaciones_dof/2020/EC1267.pdf</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7050"/>
        <w:tblGridChange w:id="0">
          <w:tblGrid>
            <w:gridCol w:w="1755"/>
            <w:gridCol w:w="7050"/>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220" w:firstLine="0"/>
              <w:jc w:val="both"/>
              <w:rPr>
                <w:sz w:val="18"/>
                <w:szCs w:val="18"/>
              </w:rPr>
            </w:pPr>
            <w:r w:rsidDel="00000000" w:rsidR="00000000" w:rsidRPr="00000000">
              <w:rPr>
                <w:sz w:val="18"/>
                <w:szCs w:val="18"/>
                <w:rtl w:val="0"/>
              </w:rPr>
              <w:t xml:space="preserve">EC1268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Atención al usuario basada en la cultura del buen trato.</w:t>
            </w:r>
          </w:p>
        </w:tc>
      </w:tr>
    </w:tbl>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Estándar expresa la competencia que una persona debe demostrar para brindar atención personalizada al usuario en el sector público/privado, conforme a los lineamientos establecidos por cada institución. Desde que recibe al usuario y detecta el tipo de servicio/atención que requiere, asimismo solicitando, verificando y procesando la información/documentación requerida para gestionar el servicio/atención basado en la cultura del buen trato. También evalúa los conocimientos, actitudes, habilidades y valores que la persona debe poseer para esta competencia.</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https://www.conocer.gob.mx/contenido/publicaciones_dof/2020/EC1268.pdf</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7065"/>
        <w:tblGridChange w:id="0">
          <w:tblGrid>
            <w:gridCol w:w="1755"/>
            <w:gridCol w:w="706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220" w:firstLine="0"/>
              <w:jc w:val="both"/>
              <w:rPr>
                <w:sz w:val="18"/>
                <w:szCs w:val="18"/>
              </w:rPr>
            </w:pPr>
            <w:r w:rsidDel="00000000" w:rsidR="00000000" w:rsidRPr="00000000">
              <w:rPr>
                <w:sz w:val="18"/>
                <w:szCs w:val="18"/>
                <w:rtl w:val="0"/>
              </w:rPr>
              <w:t xml:space="preserve">EC1269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jc w:val="both"/>
              <w:rPr>
                <w:sz w:val="18"/>
                <w:szCs w:val="18"/>
              </w:rPr>
            </w:pPr>
            <w:r w:rsidDel="00000000" w:rsidR="00000000" w:rsidRPr="00000000">
              <w:rPr>
                <w:sz w:val="18"/>
                <w:szCs w:val="18"/>
                <w:rtl w:val="0"/>
              </w:rPr>
              <w:t xml:space="preserve">Proporcionar técnicas físicas, mentales y artísticas mediante la ejecución de prácticas para el desarrollo de habilidades socioemocionales, en cualquier contexto.</w:t>
            </w:r>
          </w:p>
        </w:tc>
      </w:tr>
    </w:tbl>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Estándar de Competencia sirve para evaluar y certificar a las personas que se desempeñan en el desarrollo de habilidades socioemocionales mediante prácticas físicas, mentales y artísticas e incluye las funciones sustantivas que debe conocer y realizar con relación a la instrucción de habilidades para esta actividad de la siguiente manera: elaborando el diagnóstico para identificar las características y necesidades del grupo/aprendiz, diseñando y ejecutando el plan de trabajo, utilizando los materiales y equipo de apoyo necesarios, así como aplicando la evaluación del proceso. También establece los conocimientos teóricos y prácticos básicos con los que deberá contar para realizar esta función, así como las actitudes y valores relevantes en su desempeño.</w:t>
      </w:r>
    </w:p>
    <w:p w:rsidR="00000000" w:rsidDel="00000000" w:rsidP="00000000" w:rsidRDefault="00000000" w:rsidRPr="00000000" w14:paraId="000000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https://www.conocer.gob.mx/contenido/publicaciones_dof/2020/EC1269.pdf</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7065"/>
        <w:tblGridChange w:id="0">
          <w:tblGrid>
            <w:gridCol w:w="1755"/>
            <w:gridCol w:w="7065"/>
          </w:tblGrid>
        </w:tblGridChange>
      </w:tblGrid>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220" w:firstLine="0"/>
              <w:jc w:val="both"/>
              <w:rPr>
                <w:sz w:val="18"/>
                <w:szCs w:val="18"/>
              </w:rPr>
            </w:pPr>
            <w:r w:rsidDel="00000000" w:rsidR="00000000" w:rsidRPr="00000000">
              <w:rPr>
                <w:sz w:val="18"/>
                <w:szCs w:val="18"/>
                <w:rtl w:val="0"/>
              </w:rPr>
              <w:t xml:space="preserve">EC1270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80" w:firstLine="0"/>
              <w:jc w:val="both"/>
              <w:rPr>
                <w:sz w:val="18"/>
                <w:szCs w:val="18"/>
              </w:rPr>
            </w:pPr>
            <w:r w:rsidDel="00000000" w:rsidR="00000000" w:rsidRPr="00000000">
              <w:rPr>
                <w:sz w:val="18"/>
                <w:szCs w:val="18"/>
                <w:rtl w:val="0"/>
              </w:rPr>
              <w:t xml:space="preserve">Prestación de servicios de estimulación temprana individual y grupal en</w:t>
            </w:r>
            <w:r w:rsidDel="00000000" w:rsidR="00000000" w:rsidRPr="00000000">
              <w:rPr>
                <w:b w:val="1"/>
                <w:sz w:val="18"/>
                <w:szCs w:val="18"/>
                <w:rtl w:val="0"/>
              </w:rPr>
              <w:t xml:space="preserve"> </w:t>
            </w:r>
            <w:r w:rsidDel="00000000" w:rsidR="00000000" w:rsidRPr="00000000">
              <w:rPr>
                <w:sz w:val="18"/>
                <w:szCs w:val="18"/>
                <w:rtl w:val="0"/>
              </w:rPr>
              <w:t xml:space="preserve">centros de atención y desarrollo de niñas y niños de cuarenta y tres días a cuatro años de edad.</w:t>
            </w:r>
          </w:p>
        </w:tc>
      </w:tr>
    </w:tbl>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Estándar de Competencia describe los desempeños que una persona debe tener para proporcionar estimulación temprana a niñas/niños de cuarenta y tres días a cuatro años de edad, considerando previo diagnóstico emitido por un experto en la salud/institución que hace constar que la niña/niño está sano; la preparación de las áreas en donde se llevarán a cabo las actividades, aplicando la planeación de sesiones de actividades y preparando los materiales didácticos y de apoyo a utilizar, así como, la aplicación de técnicas de animación, reflexión, demostración y evaluación durante el desarrollo de las sesiones, de igual manera, ejercicios para el desarrollo de capacidades en las áreas motora, de coordinación, de lenguaje, sociales y cognitivas. También se evalúan los conocimientos teóricos básicos y prácticos con los que debe contar para realizar su trabajo, así como las actitudes relevantes en su desempeño.</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https://www.conocer.gob.mx/contenido/publicaciones_dof/2020/EC1270.pdf</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40"/>
        <w:tblGridChange w:id="0">
          <w:tblGrid>
            <w:gridCol w:w="1665"/>
            <w:gridCol w:w="7140"/>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220" w:firstLine="0"/>
              <w:jc w:val="both"/>
              <w:rPr>
                <w:sz w:val="18"/>
                <w:szCs w:val="18"/>
              </w:rPr>
            </w:pPr>
            <w:r w:rsidDel="00000000" w:rsidR="00000000" w:rsidRPr="00000000">
              <w:rPr>
                <w:sz w:val="18"/>
                <w:szCs w:val="18"/>
                <w:rtl w:val="0"/>
              </w:rPr>
              <w:t xml:space="preserve">EC1271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80" w:firstLine="0"/>
              <w:jc w:val="both"/>
              <w:rPr>
                <w:sz w:val="18"/>
                <w:szCs w:val="18"/>
              </w:rPr>
            </w:pPr>
            <w:r w:rsidDel="00000000" w:rsidR="00000000" w:rsidRPr="00000000">
              <w:rPr>
                <w:sz w:val="18"/>
                <w:szCs w:val="18"/>
                <w:rtl w:val="0"/>
              </w:rPr>
              <w:t xml:space="preserve">Atención inicial al usuario para la recepción de la denuncia conforme al modelo de atención diferenciada de la demanda.</w:t>
            </w:r>
          </w:p>
        </w:tc>
      </w:tr>
    </w:tbl>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estándar de Competencias describe funciones de las personas que realizan la atención de las víctimas de un posible hecho delictivo, de manera diferenciada, especializada, personal e inmediata.</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susceptibles de certificarse son servidores públicos que brindan atención personal inicial al usuario, en espacios apropiados, utilizando insumos materiales y tecnológicos; así como una comunicación interactiva que cumple con valores y principios normados que permiten identificar y diferenciar su necesidad, para canalizarlo al fiscal con competencia para conocer el hecho posiblemente delictivo, con el correspondiente registro electrónico conforme al modelo institucional. Asimismo, establece los conocimientos teóricos, básicos y aplicables con los que deberá contar la persona para la realización de dicha función, así como las actitudes relevantes que deberá mostrar en su desempeño.</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de Atención Diferenciada de la Demanda es uno de los modelos de operación de COSMOS que permite distinguir y atender en forma diferenciada, personal, especializada e inmediata, las diversas necesidades que tiene cada persona que se relaciona con un hecho posiblemente delictivo. El Modelo clasifica las demandas en cuatro tipos: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Demanda 1 (D1): Atención de los delitos patrimoniales en los que se desconoce la identidad del imputado. Demanda 2 (D2): Atención de los delitos susceptibles de un arreglo entre las partes vía Mecanismos Alternativos de Solución de Controversias y Conflictos. Demanda 3 (D3): Atención de los delitos de alto impacto, con persona detenida o de prisión preventiva oficiosa. Demanda 4 (D4): Atención de los delitos que pueden resolverse a través de un Mecanismo Alternativo de Solución de Controversias, o bien, si ello no es posible, optar por la judicialización.</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https://www.conocer.gob.mx/contenido/publicaciones_dof/2020/EC1271.pdf</w:t>
      </w:r>
    </w:p>
    <w:tbl>
      <w:tblPr>
        <w:tblStyle w:val="Table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5B">
      <w:pPr>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7185"/>
        <w:tblGridChange w:id="0">
          <w:tblGrid>
            <w:gridCol w:w="1620"/>
            <w:gridCol w:w="718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C">
            <w:pPr>
              <w:spacing w:after="100" w:lineRule="auto"/>
              <w:ind w:left="220" w:firstLine="0"/>
              <w:jc w:val="both"/>
              <w:rPr>
                <w:sz w:val="18"/>
                <w:szCs w:val="18"/>
              </w:rPr>
            </w:pPr>
            <w:r w:rsidDel="00000000" w:rsidR="00000000" w:rsidRPr="00000000">
              <w:rPr>
                <w:sz w:val="18"/>
                <w:szCs w:val="18"/>
                <w:rtl w:val="0"/>
              </w:rPr>
              <w:t xml:space="preserve">EC1272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D">
            <w:pPr>
              <w:spacing w:after="100" w:lineRule="auto"/>
              <w:ind w:left="80" w:firstLine="0"/>
              <w:jc w:val="both"/>
              <w:rPr>
                <w:sz w:val="18"/>
                <w:szCs w:val="18"/>
              </w:rPr>
            </w:pPr>
            <w:r w:rsidDel="00000000" w:rsidR="00000000" w:rsidRPr="00000000">
              <w:rPr>
                <w:sz w:val="18"/>
                <w:szCs w:val="18"/>
                <w:rtl w:val="0"/>
              </w:rPr>
              <w:t xml:space="preserve">Revisión de las carpetas de investigación para analizar la procedencia de Mecanismos Alternativos de Solución de Controversias en materia penal.</w:t>
            </w:r>
          </w:p>
        </w:tc>
      </w:tr>
    </w:tbl>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documento establece y define las funciones elementales que una persona debe realizar para ser competente en la función de verificar la admisibilidad y procedencia de las carpetas de investigación susceptibles de participación de los Mecanismos Alternativos de Solución de Controversias en materia penal, dichas funciones abarcan desde: la lectura de carpetas de investigación, corroborar número de carpeta de investigación, institución de procedencia, delito, datos de identificación y localización de los intervinientes, que sea acreditada la propiedad y personalidad, así como el tiempo de prescripción, hasta la aceptación o rechazo de la referida carpeta de investigación. De igual manera, establece los conocimientos teóricos, básicos y prácticos con los que debe contar cada elemento para realizar su trabajo, así como las actitudes relevantes en su desempeño.</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https://www.conocer.gob.mx/contenido/publicaciones_dof/2020/EC1272.pdf</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7095"/>
        <w:tblGridChange w:id="0">
          <w:tblGrid>
            <w:gridCol w:w="1725"/>
            <w:gridCol w:w="7095"/>
          </w:tblGrid>
        </w:tblGridChange>
      </w:tblGrid>
      <w:tr>
        <w:trPr>
          <w:trHeight w:val="77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3">
            <w:pPr>
              <w:spacing w:after="100" w:lineRule="auto"/>
              <w:ind w:left="220" w:firstLine="0"/>
              <w:jc w:val="both"/>
              <w:rPr>
                <w:sz w:val="18"/>
                <w:szCs w:val="18"/>
              </w:rPr>
            </w:pPr>
            <w:r w:rsidDel="00000000" w:rsidR="00000000" w:rsidRPr="00000000">
              <w:rPr>
                <w:sz w:val="18"/>
                <w:szCs w:val="18"/>
                <w:rtl w:val="0"/>
              </w:rPr>
              <w:t xml:space="preserve">EC1273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4">
            <w:pPr>
              <w:spacing w:after="100" w:lineRule="auto"/>
              <w:ind w:left="80" w:firstLine="0"/>
              <w:jc w:val="both"/>
              <w:rPr>
                <w:sz w:val="18"/>
                <w:szCs w:val="18"/>
              </w:rPr>
            </w:pPr>
            <w:r w:rsidDel="00000000" w:rsidR="00000000" w:rsidRPr="00000000">
              <w:rPr>
                <w:sz w:val="18"/>
                <w:szCs w:val="18"/>
                <w:rtl w:val="0"/>
              </w:rPr>
              <w:t xml:space="preserve">Aplicación de técnicas para el desarrollo del plan de supervisión de obligaciones judiciales en libertad.</w:t>
            </w:r>
          </w:p>
        </w:tc>
      </w:tr>
    </w:tbl>
    <w:p w:rsidR="00000000" w:rsidDel="00000000" w:rsidP="00000000" w:rsidRDefault="00000000" w:rsidRPr="00000000" w14:paraId="000000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EC describe los desempeños, habilidades y destrezas que una persona debe demostrar a través de la aplicación de estrategias, tácticas y técnicas para la elaboración del Plan de Supervisión, a partir de las metodologías desarrolladas por el modelo de gestión COSMOS, realizando una entrevista de encuadre adecuada y una estrategia de supervisión consensada con la persona imputada para el cumplimiento de las obligaciones impuestas por el Juez. También establece los conocimientos teóricos, básicos y aplicables con los que deberá contar la persona para la realización de dicha función, así como las actitudes relevantes que deberá mostrar en su desempeño.</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https://www.conocer.gob.mx/contenido/publicaciones_dof/2020/EC1273.pdf</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110"/>
        <w:tblGridChange w:id="0">
          <w:tblGrid>
            <w:gridCol w:w="1710"/>
            <w:gridCol w:w="7110"/>
          </w:tblGrid>
        </w:tblGridChange>
      </w:tblGrid>
      <w:tr>
        <w:trPr>
          <w:trHeight w:val="77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A">
            <w:pPr>
              <w:spacing w:after="100" w:lineRule="auto"/>
              <w:ind w:left="220" w:firstLine="0"/>
              <w:jc w:val="both"/>
              <w:rPr>
                <w:sz w:val="18"/>
                <w:szCs w:val="18"/>
              </w:rPr>
            </w:pPr>
            <w:r w:rsidDel="00000000" w:rsidR="00000000" w:rsidRPr="00000000">
              <w:rPr>
                <w:sz w:val="18"/>
                <w:szCs w:val="18"/>
                <w:rtl w:val="0"/>
              </w:rPr>
              <w:t xml:space="preserve">EC1274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B">
            <w:pPr>
              <w:spacing w:after="100" w:lineRule="auto"/>
              <w:ind w:left="80" w:firstLine="0"/>
              <w:jc w:val="both"/>
              <w:rPr>
                <w:sz w:val="18"/>
                <w:szCs w:val="18"/>
              </w:rPr>
            </w:pPr>
            <w:r w:rsidDel="00000000" w:rsidR="00000000" w:rsidRPr="00000000">
              <w:rPr>
                <w:sz w:val="18"/>
                <w:szCs w:val="18"/>
                <w:rtl w:val="0"/>
              </w:rPr>
              <w:t xml:space="preserve">Atención telefónica a solicitudes de apoyo en emergencias a través de la línea 9-1-1, conforme al Modelo COSMOS.</w:t>
            </w:r>
          </w:p>
        </w:tc>
      </w:tr>
    </w:tbl>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Estándar de Competencia refiere a las actividades necesarias para la evaluación y certificación de las personas que operan el servicio telefónico de Emergencias 9-1-1, como el proceso inicial para la atención ciudadana con base en el modelo de gestión COSMOS de Justicia Oral. Considerando la preparación de las herramientas y equipo técnico necesarios para la atención telefónica, que implica la verificación del buen funcionamiento del equipo de recepción de llamadas y registro de la información, la realización de llamadas de prueba antes de iniciar operación, la asignación de una estación de trabajo, el inicio de sesión mediante el ingreso de usuarios y contraseña, y la preparación de herramientas de trabajo complementarias. Implica la recepción de solicitudes de atención a emergencias a través de la línea telefónica, la cual incluye contestar la llamada de solicitud de emergencia al primer timbre, la aplicación de un script de inicio de llamada, la identificación del tipo de emergencia, la validación del enrutamiento, la toma de información primaria de ubicación, datos de contacto e información complementaria al reporte, así como la aplicación de instrucciones de trabajo según corresponda y brindando acompañamiento al usuario hasta el arribo de la unidad de apoyo en caso necesario. Incluye el registro de la información a través del sistema de Despacho Asistido por Computadora (CAD) y la canalización a las corporaciones a través del mismo.</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También establece los conocimientos teóricos, básicos y aplicables con los que se deberá contar la persona para la realización de dicha función, así como las actitudes relevantes que deberá mostrar en su desempeño.</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https://www.conocer.gob.mx/contenido/publicaciones_dof/2020/EC1274.pdf</w:t>
      </w:r>
    </w:p>
    <w:tbl>
      <w:tblPr>
        <w:tblStyle w:val="Table1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71">
      <w:pPr>
        <w:rPr/>
      </w:pPr>
      <w:r w:rsidDel="00000000" w:rsidR="00000000" w:rsidRPr="00000000">
        <w:rPr>
          <w:rtl w:val="0"/>
        </w:rPr>
      </w:r>
    </w:p>
    <w:tbl>
      <w:tblPr>
        <w:tblStyle w:val="Table1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110"/>
        <w:tblGridChange w:id="0">
          <w:tblGrid>
            <w:gridCol w:w="1710"/>
            <w:gridCol w:w="7110"/>
          </w:tblGrid>
        </w:tblGridChange>
      </w:tblGrid>
      <w:tr>
        <w:trPr>
          <w:trHeight w:val="93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2">
            <w:pPr>
              <w:spacing w:after="80" w:lineRule="auto"/>
              <w:ind w:left="220" w:firstLine="0"/>
              <w:jc w:val="both"/>
              <w:rPr>
                <w:sz w:val="18"/>
                <w:szCs w:val="18"/>
              </w:rPr>
            </w:pPr>
            <w:r w:rsidDel="00000000" w:rsidR="00000000" w:rsidRPr="00000000">
              <w:rPr>
                <w:sz w:val="18"/>
                <w:szCs w:val="18"/>
                <w:rtl w:val="0"/>
              </w:rPr>
              <w:t xml:space="preserve">EC1275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3">
            <w:pPr>
              <w:spacing w:after="80" w:lineRule="auto"/>
              <w:ind w:left="80" w:firstLine="0"/>
              <w:jc w:val="both"/>
              <w:rPr>
                <w:sz w:val="18"/>
                <w:szCs w:val="18"/>
              </w:rPr>
            </w:pPr>
            <w:r w:rsidDel="00000000" w:rsidR="00000000" w:rsidRPr="00000000">
              <w:rPr>
                <w:sz w:val="18"/>
                <w:szCs w:val="18"/>
                <w:rtl w:val="0"/>
              </w:rPr>
              <w:t xml:space="preserve">Detección de las necesidades de protección integral de la persona adolescente a quien se atribuya la realización de una conducta tipificada como delito por las leyes penales y activación de los operadores asistenciales correspondientes.</w:t>
            </w:r>
          </w:p>
        </w:tc>
      </w:tr>
    </w:tbl>
    <w:p w:rsidR="00000000" w:rsidDel="00000000" w:rsidP="00000000" w:rsidRDefault="00000000" w:rsidRPr="00000000" w14:paraId="0000007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presente EC describe las competencias que el operador Cosmos Justicia Oral del Sistema Integral de Justicia Penal para Adolescentes debe demostrar, a través del cumplimiento de dos funciones elementales, primeramente logrando la identificación de las necesidades particulares de protección de las personas adolescentes a quienes se atribuya la realización de una conducta tipificada como delito por las leyes penales correspondientes y a partir de ello, canalizando las necesidades de protección del adolescente con las Instituciones Asistenciales correspondientes a través de sus operadores asistenciales. Esto con la finalidad de proporcionar a la persona adolescente a quien se atribuya la realización de una conducta tipificada como delito por las leyes penales correspondientes, la máxima protección integral. Asimismo, establece los conocimientos teóricos, básicos y aplicables con los que deberá contar la persona para la realización de dicha función, así como las actitudes relevantes que deberá mostrar en su desempeño.</w:t>
      </w:r>
    </w:p>
    <w:p w:rsidR="00000000" w:rsidDel="00000000" w:rsidP="00000000" w:rsidRDefault="00000000" w:rsidRPr="00000000" w14:paraId="000000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ahí que este EC se fundamenta en criterios del interés superior de la niñez que conforman las acciones tendientes a garantizarles un desarrollo integral y una vida digna, así como condiciones materiales y afectivas que les permitan vivir plenamente y alcanzar el máximo bienestar posible; la máxima protección integral de las personas adolescentes en beneficio de que gocen de todos los derechos inherentes a las personas y les sea garantizadas las oportunidades y facilidades, a fin de asegurar las mejores condiciones para su desarrollo físico, psicológico y social, en condiciones de dignidad; el criterio de atención especializada al cumplir con la formación, capacitación y especialización de todas las autoridades del Sistema en materia de Justicia para Adolescentes en el ámbito de sus atribuciones.</w:t>
      </w:r>
    </w:p>
    <w:p w:rsidR="00000000" w:rsidDel="00000000" w:rsidP="00000000" w:rsidRDefault="00000000" w:rsidRPr="00000000" w14:paraId="0000007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https://www.conocer.gob.mx/contenido/publicaciones_dof/2020/EC1275.pdf</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7095"/>
        <w:tblGridChange w:id="0">
          <w:tblGrid>
            <w:gridCol w:w="1725"/>
            <w:gridCol w:w="709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A">
            <w:pPr>
              <w:spacing w:after="80" w:lineRule="auto"/>
              <w:ind w:left="220" w:firstLine="0"/>
              <w:jc w:val="both"/>
              <w:rPr>
                <w:sz w:val="18"/>
                <w:szCs w:val="18"/>
              </w:rPr>
            </w:pPr>
            <w:r w:rsidDel="00000000" w:rsidR="00000000" w:rsidRPr="00000000">
              <w:rPr>
                <w:sz w:val="18"/>
                <w:szCs w:val="18"/>
                <w:rtl w:val="0"/>
              </w:rPr>
              <w:t xml:space="preserve">EC1276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B">
            <w:pPr>
              <w:spacing w:after="80" w:lineRule="auto"/>
              <w:ind w:left="80" w:firstLine="0"/>
              <w:jc w:val="both"/>
              <w:rPr>
                <w:sz w:val="18"/>
                <w:szCs w:val="18"/>
              </w:rPr>
            </w:pPr>
            <w:r w:rsidDel="00000000" w:rsidR="00000000" w:rsidRPr="00000000">
              <w:rPr>
                <w:sz w:val="18"/>
                <w:szCs w:val="18"/>
                <w:rtl w:val="0"/>
              </w:rPr>
              <w:t xml:space="preserve">Elaboración de platillos aplicando técnicas culinarias de la cocina Queretana.</w:t>
            </w:r>
          </w:p>
        </w:tc>
      </w:tr>
    </w:tbl>
    <w:p w:rsidR="00000000" w:rsidDel="00000000" w:rsidP="00000000" w:rsidRDefault="00000000" w:rsidRPr="00000000" w14:paraId="0000007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7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presente Estándar de Competencia refiere a las actividades necesarias para la evaluación y certificación de las personas que realizan la preparación de los ingredientes y la elaboración de platillos, aplicando las técnicas culinarias de la cocina queretana, considerando la geografía, historia y uso de los recursos naturales endémicos del estado, así como la limpieza del área de trabajo. También establece los conocimientos teóricos, básicos y aplicables con los que deberá contar la persona para la realización de dicha función, así como las actitudes relevantes que deberá mostrar en su desempeño.</w:t>
      </w:r>
    </w:p>
    <w:p w:rsidR="00000000" w:rsidDel="00000000" w:rsidP="00000000" w:rsidRDefault="00000000" w:rsidRPr="00000000" w14:paraId="0000007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https://www.conocer.gob.mx/contenido/publicaciones_dof/2020/EC1276.pdf</w:t>
      </w:r>
    </w:p>
    <w:p w:rsidR="00000000" w:rsidDel="00000000" w:rsidP="00000000" w:rsidRDefault="00000000" w:rsidRPr="00000000" w14:paraId="0000008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7065"/>
        <w:tblGridChange w:id="0">
          <w:tblGrid>
            <w:gridCol w:w="1740"/>
            <w:gridCol w:w="706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1">
            <w:pPr>
              <w:spacing w:after="80" w:lineRule="auto"/>
              <w:ind w:left="220" w:firstLine="0"/>
              <w:jc w:val="both"/>
              <w:rPr>
                <w:sz w:val="18"/>
                <w:szCs w:val="18"/>
              </w:rPr>
            </w:pPr>
            <w:r w:rsidDel="00000000" w:rsidR="00000000" w:rsidRPr="00000000">
              <w:rPr>
                <w:sz w:val="18"/>
                <w:szCs w:val="18"/>
                <w:rtl w:val="0"/>
              </w:rPr>
              <w:t xml:space="preserve">EC1277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2">
            <w:pPr>
              <w:spacing w:after="80" w:lineRule="auto"/>
              <w:ind w:left="80" w:firstLine="0"/>
              <w:jc w:val="both"/>
              <w:rPr>
                <w:sz w:val="18"/>
                <w:szCs w:val="18"/>
              </w:rPr>
            </w:pPr>
            <w:r w:rsidDel="00000000" w:rsidR="00000000" w:rsidRPr="00000000">
              <w:rPr>
                <w:sz w:val="18"/>
                <w:szCs w:val="18"/>
                <w:rtl w:val="0"/>
              </w:rPr>
              <w:t xml:space="preserve">Aplicación de uñas acrílicas en nivel avanzado.</w:t>
            </w:r>
          </w:p>
        </w:tc>
      </w:tr>
    </w:tbl>
    <w:p w:rsidR="00000000" w:rsidDel="00000000" w:rsidP="00000000" w:rsidRDefault="00000000" w:rsidRPr="00000000" w14:paraId="0000008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presente Estándar de Competencia "Aplicación de uñas acrílicas en nivel avanzado", establece las funciones sustantivas siguiendo el protocolo de sanitizar y desinfectar la estación de trabajo, preparar la estación de trabajo y materiales, preparar las uñas naturales, elaborar las uñas acrílicas, dar el terminado con gel semipermanente, y finalmente limpiar y ordenar la estación de trabajo.</w:t>
      </w:r>
    </w:p>
    <w:p w:rsidR="00000000" w:rsidDel="00000000" w:rsidP="00000000" w:rsidRDefault="00000000" w:rsidRPr="00000000" w14:paraId="0000008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https://www.conocer.gob.mx/contenido/publicaciones_dof/2020/EC1277.pdf</w:t>
      </w:r>
    </w:p>
    <w:p w:rsidR="00000000" w:rsidDel="00000000" w:rsidP="00000000" w:rsidRDefault="00000000" w:rsidRPr="00000000" w14:paraId="000000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7095"/>
        <w:tblGridChange w:id="0">
          <w:tblGrid>
            <w:gridCol w:w="1725"/>
            <w:gridCol w:w="709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8">
            <w:pPr>
              <w:spacing w:after="80" w:lineRule="auto"/>
              <w:ind w:left="220" w:firstLine="0"/>
              <w:jc w:val="both"/>
              <w:rPr>
                <w:sz w:val="18"/>
                <w:szCs w:val="18"/>
              </w:rPr>
            </w:pPr>
            <w:r w:rsidDel="00000000" w:rsidR="00000000" w:rsidRPr="00000000">
              <w:rPr>
                <w:sz w:val="18"/>
                <w:szCs w:val="18"/>
                <w:rtl w:val="0"/>
              </w:rPr>
              <w:t xml:space="preserve">EC1278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9">
            <w:pPr>
              <w:spacing w:after="80" w:lineRule="auto"/>
              <w:ind w:left="80" w:firstLine="0"/>
              <w:jc w:val="both"/>
              <w:rPr>
                <w:sz w:val="18"/>
                <w:szCs w:val="18"/>
              </w:rPr>
            </w:pPr>
            <w:r w:rsidDel="00000000" w:rsidR="00000000" w:rsidRPr="00000000">
              <w:rPr>
                <w:sz w:val="18"/>
                <w:szCs w:val="18"/>
                <w:rtl w:val="0"/>
              </w:rPr>
              <w:t xml:space="preserve">Aplicación de uñas postizas con sistema de gel.</w:t>
            </w:r>
          </w:p>
        </w:tc>
      </w:tr>
    </w:tbl>
    <w:p w:rsidR="00000000" w:rsidDel="00000000" w:rsidP="00000000" w:rsidRDefault="00000000" w:rsidRPr="00000000" w14:paraId="0000008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presente Estándar de Competencia, establece las funciones sustantivas de seguir el protocolo de sanitizar y desinfectar la estación de trabajo, preparar la estación de trabajo y materiales, preparar las uñas naturales, elaborar las uñas postizas, dar el terminado con gel semipermanente, retirar el gel, finalmente limpiar y ordenar la estación de trabajo.</w:t>
      </w:r>
    </w:p>
    <w:p w:rsidR="00000000" w:rsidDel="00000000" w:rsidP="00000000" w:rsidRDefault="00000000" w:rsidRPr="00000000" w14:paraId="0000008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8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https://www.conocer.gob.mx/contenido/publicaciones_dof/2020/EC1278.pdf</w:t>
      </w:r>
    </w:p>
    <w:tbl>
      <w:tblPr>
        <w:tblStyle w:val="Table1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8E">
      <w:pPr>
        <w:rPr/>
      </w:pPr>
      <w:r w:rsidDel="00000000" w:rsidR="00000000" w:rsidRPr="00000000">
        <w:rPr>
          <w:rtl w:val="0"/>
        </w:rPr>
      </w:r>
    </w:p>
    <w:tbl>
      <w:tblPr>
        <w:tblStyle w:val="Table1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7065"/>
        <w:tblGridChange w:id="0">
          <w:tblGrid>
            <w:gridCol w:w="1755"/>
            <w:gridCol w:w="706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F">
            <w:pPr>
              <w:spacing w:after="100" w:lineRule="auto"/>
              <w:ind w:left="220" w:firstLine="0"/>
              <w:jc w:val="both"/>
              <w:rPr>
                <w:sz w:val="18"/>
                <w:szCs w:val="18"/>
              </w:rPr>
            </w:pPr>
            <w:r w:rsidDel="00000000" w:rsidR="00000000" w:rsidRPr="00000000">
              <w:rPr>
                <w:sz w:val="18"/>
                <w:szCs w:val="18"/>
                <w:rtl w:val="0"/>
              </w:rPr>
              <w:t xml:space="preserve">EC1279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0">
            <w:pPr>
              <w:spacing w:after="100" w:lineRule="auto"/>
              <w:ind w:left="80" w:firstLine="0"/>
              <w:jc w:val="both"/>
              <w:rPr>
                <w:sz w:val="18"/>
                <w:szCs w:val="18"/>
              </w:rPr>
            </w:pPr>
            <w:r w:rsidDel="00000000" w:rsidR="00000000" w:rsidRPr="00000000">
              <w:rPr>
                <w:sz w:val="18"/>
                <w:szCs w:val="18"/>
                <w:rtl w:val="0"/>
              </w:rPr>
              <w:t xml:space="preserve">Inspección de la unidad automotriz en pista de pruebas.</w:t>
            </w:r>
          </w:p>
        </w:tc>
      </w:tr>
    </w:tbl>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Estándar de Competencia describe las funciones que desempeñan los inspectores de unidades automotrices en pista de pruebas, realizando la inspección de manera dinámica, confirmando que los vehículos no presenten defectos en los sistemas de frenado, dirección, aceleración y/o suspensión; además verificando que no se presenten ruidos o sonidos anormales en los diferentes caminos irregulares y a su vez corroborando que no existan defectos que puedan causar insatisfacción en los clientes que compren el producto. También comprueban el nivel de calidad general del automóvil utilizando las técnicas de evaluación establecidas por la empresa. Lo anterior se realiza mediante el manejo de las unidades automotrices a bajas y altas velocidades en las pistas de pruebas respetando las normas y reglamentos que la compañía establece. El estándar además contiene los conocimientos teóricos básicos y prácticos con los que se debe de contar para realizar este trabajo, así como las actitudes relevantes en su desempeño.</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https://www.conocer.gob.mx/contenido/publicaciones_dof/2020/EC1279.pdf</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7065"/>
        <w:tblGridChange w:id="0">
          <w:tblGrid>
            <w:gridCol w:w="1740"/>
            <w:gridCol w:w="706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6">
            <w:pPr>
              <w:spacing w:after="100" w:lineRule="auto"/>
              <w:ind w:left="220" w:firstLine="0"/>
              <w:jc w:val="both"/>
              <w:rPr>
                <w:sz w:val="18"/>
                <w:szCs w:val="18"/>
              </w:rPr>
            </w:pPr>
            <w:r w:rsidDel="00000000" w:rsidR="00000000" w:rsidRPr="00000000">
              <w:rPr>
                <w:sz w:val="18"/>
                <w:szCs w:val="18"/>
                <w:rtl w:val="0"/>
              </w:rPr>
              <w:t xml:space="preserve">EC1280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7">
            <w:pPr>
              <w:spacing w:after="100" w:lineRule="auto"/>
              <w:ind w:left="80" w:firstLine="0"/>
              <w:jc w:val="both"/>
              <w:rPr>
                <w:sz w:val="18"/>
                <w:szCs w:val="18"/>
              </w:rPr>
            </w:pPr>
            <w:r w:rsidDel="00000000" w:rsidR="00000000" w:rsidRPr="00000000">
              <w:rPr>
                <w:sz w:val="18"/>
                <w:szCs w:val="18"/>
                <w:rtl w:val="0"/>
              </w:rPr>
              <w:t xml:space="preserve">Operador de cabina del servicio de grúas.</w:t>
            </w:r>
          </w:p>
        </w:tc>
      </w:tr>
    </w:tbl>
    <w:p w:rsidR="00000000" w:rsidDel="00000000" w:rsidP="00000000" w:rsidRDefault="00000000" w:rsidRPr="00000000" w14:paraId="000000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documento establece y define las funciones elementales que una persona debe realizar en la operación de cabina del servicio de grúas, que consta en verificar el funcionamiento del equipo de radio a partir de habilitar el área de trabajo así como en verificar la funcionalidad del sistema y el equipo de cómputo, recibir los servicios que se encuentren en proceso al inicio del turno, realizar el procedimiento de comunicación de instrucciones hacia los operadores de grúas, tales como la identificación del servicio a realizar, el lugar de inicio así como el lugar de término del mismo, complementar datos a las órdenes de servicio correspondientes y entregar los servicios que se encuentren en proceso al término de la jornada laboral.</w:t>
      </w:r>
    </w:p>
    <w:p w:rsidR="00000000" w:rsidDel="00000000" w:rsidP="00000000" w:rsidRDefault="00000000" w:rsidRPr="00000000" w14:paraId="000000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https://www.conocer.gob.mx/contenido/publicaciones_dof/2020/EC1280.pdf</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7215"/>
        <w:tblGridChange w:id="0">
          <w:tblGrid>
            <w:gridCol w:w="1605"/>
            <w:gridCol w:w="721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D">
            <w:pPr>
              <w:spacing w:after="100" w:lineRule="auto"/>
              <w:ind w:left="220" w:firstLine="0"/>
              <w:jc w:val="both"/>
              <w:rPr>
                <w:sz w:val="18"/>
                <w:szCs w:val="18"/>
              </w:rPr>
            </w:pPr>
            <w:r w:rsidDel="00000000" w:rsidR="00000000" w:rsidRPr="00000000">
              <w:rPr>
                <w:sz w:val="18"/>
                <w:szCs w:val="18"/>
                <w:rtl w:val="0"/>
              </w:rPr>
              <w:t xml:space="preserve">EC1281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E">
            <w:pPr>
              <w:spacing w:after="100" w:lineRule="auto"/>
              <w:ind w:left="80" w:firstLine="0"/>
              <w:jc w:val="both"/>
              <w:rPr>
                <w:sz w:val="18"/>
                <w:szCs w:val="18"/>
              </w:rPr>
            </w:pPr>
            <w:r w:rsidDel="00000000" w:rsidR="00000000" w:rsidRPr="00000000">
              <w:rPr>
                <w:sz w:val="18"/>
                <w:szCs w:val="18"/>
                <w:rtl w:val="0"/>
              </w:rPr>
              <w:t xml:space="preserve">Diseño de troqueles a través de software CAD/CAE.</w:t>
            </w:r>
          </w:p>
        </w:tc>
      </w:tr>
    </w:tbl>
    <w:p w:rsidR="00000000" w:rsidDel="00000000" w:rsidP="00000000" w:rsidRDefault="00000000" w:rsidRPr="00000000" w14:paraId="000000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EC establece los aspectos a considerar para evaluar la competencia del diseñador de troqueles, lo que incluye la realización del análisis de factibilidad para la manufactura, el diseño del proceso (strip layout), la elaboración del diseño final en 3D y, por último, la elaboración de los planos para la manufactura del troquel, lo anterior apoyado de un software de diseño y simulación que incluye cálculos matemáticos básicos que soportan el diseño.</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establece los conocimientos teóricos con lo que debe contar el líder para realizar su trabajo, así como las actitudes relevantes para su desempeño.</w:t>
      </w:r>
    </w:p>
    <w:p w:rsidR="00000000" w:rsidDel="00000000" w:rsidP="00000000" w:rsidRDefault="00000000" w:rsidRPr="00000000" w14:paraId="000000A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https://www.conocer.gob.mx/contenido/publicaciones_dof/2020/EC1281.pdf</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7380"/>
        <w:tblGridChange w:id="0">
          <w:tblGrid>
            <w:gridCol w:w="1440"/>
            <w:gridCol w:w="7380"/>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5">
            <w:pPr>
              <w:spacing w:after="100" w:lineRule="auto"/>
              <w:ind w:left="220" w:firstLine="0"/>
              <w:jc w:val="both"/>
              <w:rPr>
                <w:sz w:val="18"/>
                <w:szCs w:val="18"/>
              </w:rPr>
            </w:pPr>
            <w:r w:rsidDel="00000000" w:rsidR="00000000" w:rsidRPr="00000000">
              <w:rPr>
                <w:sz w:val="18"/>
                <w:szCs w:val="18"/>
                <w:rtl w:val="0"/>
              </w:rPr>
              <w:t xml:space="preserve">EC1282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6">
            <w:pPr>
              <w:spacing w:after="100" w:lineRule="auto"/>
              <w:ind w:left="80" w:firstLine="0"/>
              <w:jc w:val="both"/>
              <w:rPr>
                <w:sz w:val="18"/>
                <w:szCs w:val="18"/>
              </w:rPr>
            </w:pPr>
            <w:r w:rsidDel="00000000" w:rsidR="00000000" w:rsidRPr="00000000">
              <w:rPr>
                <w:sz w:val="18"/>
                <w:szCs w:val="18"/>
                <w:rtl w:val="0"/>
              </w:rPr>
              <w:t xml:space="preserve">Desarrollo de software/sistema y aplicaciones informáticas.</w:t>
            </w:r>
          </w:p>
        </w:tc>
      </w:tr>
    </w:tbl>
    <w:p w:rsidR="00000000" w:rsidDel="00000000" w:rsidP="00000000" w:rsidRDefault="00000000" w:rsidRPr="00000000" w14:paraId="000000A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EC contiene las funciones críticas y sustantivas de las personas que desarrollan software/sistema y aplicaciones informáticas, iniciando con el análisis de los requerimientos planteados por el usuario/cliente para establecer el plan de trabajo, la propuesta de solución y el diseño acorde al problema o diagnóstico identificado. Posteriormente desarrolla el software/sistema conforme al plan de trabajo acordado, realizando pruebas de funcionalidad y la elaboración del manual de usuario para asegurar su correcta operación. De igual manera, elabora el expediente documental o electrónico del proceso de desarrollo y aprobación del software/sistema.</w:t>
      </w:r>
    </w:p>
    <w:p w:rsidR="00000000" w:rsidDel="00000000" w:rsidP="00000000" w:rsidRDefault="00000000" w:rsidRPr="00000000" w14:paraId="000000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https://www.conocer.gob.mx/contenido/publicaciones_dof/2020/EC1282.pdf</w:t>
      </w:r>
    </w:p>
    <w:tbl>
      <w:tblPr>
        <w:tblStyle w:val="Table2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AB">
      <w:pPr>
        <w:rPr/>
      </w:pPr>
      <w:r w:rsidDel="00000000" w:rsidR="00000000" w:rsidRPr="00000000">
        <w:rPr>
          <w:rtl w:val="0"/>
        </w:rPr>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7020"/>
        <w:tblGridChange w:id="0">
          <w:tblGrid>
            <w:gridCol w:w="1785"/>
            <w:gridCol w:w="7020"/>
          </w:tblGrid>
        </w:tblGridChange>
      </w:tblGrid>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C">
            <w:pPr>
              <w:spacing w:after="100" w:lineRule="auto"/>
              <w:ind w:left="220" w:firstLine="0"/>
              <w:jc w:val="both"/>
              <w:rPr>
                <w:sz w:val="18"/>
                <w:szCs w:val="18"/>
              </w:rPr>
            </w:pPr>
            <w:r w:rsidDel="00000000" w:rsidR="00000000" w:rsidRPr="00000000">
              <w:rPr>
                <w:sz w:val="18"/>
                <w:szCs w:val="18"/>
                <w:rtl w:val="0"/>
              </w:rPr>
              <w:t xml:space="preserve">EC1283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D">
            <w:pPr>
              <w:spacing w:after="100" w:lineRule="auto"/>
              <w:ind w:left="80" w:firstLine="0"/>
              <w:jc w:val="both"/>
              <w:rPr>
                <w:sz w:val="18"/>
                <w:szCs w:val="18"/>
              </w:rPr>
            </w:pPr>
            <w:r w:rsidDel="00000000" w:rsidR="00000000" w:rsidRPr="00000000">
              <w:rPr>
                <w:sz w:val="18"/>
                <w:szCs w:val="18"/>
                <w:rtl w:val="0"/>
              </w:rPr>
              <w:t xml:space="preserve">Coordinación de la administración y logística de almacenes en los sectores industriales, empresariales, bodegas y en la cadena de suministro de los centros de distribución de mercancías.</w:t>
            </w:r>
          </w:p>
        </w:tc>
      </w:tr>
    </w:tbl>
    <w:p w:rsidR="00000000" w:rsidDel="00000000" w:rsidP="00000000" w:rsidRDefault="00000000" w:rsidRPr="00000000" w14:paraId="000000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Estándar de Competencia describe las funciones que realiza una persona en la administración y logística de almacenes en los sectores industriales, empresariales, bodegas y en la cadena de suministro de los centros de distribución de mercancías, entre las que destacan la verificación de las condiciones de operación en su área de trabajo y de los equipos, la administración del personal a su cargo, la coordinación de la recepción, almacenamiento y salida de productos/mercancías y la coordinación del nivel de servicio, ajustes de inventarios y mermas. También establece los conocimientos teóricos, básicos y prácticos con los que debe contar para realizar un trabajo, así como las actitudes relevantes en su desempeño.</w:t>
      </w:r>
    </w:p>
    <w:p w:rsidR="00000000" w:rsidDel="00000000" w:rsidP="00000000" w:rsidRDefault="00000000" w:rsidRPr="00000000" w14:paraId="000000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https://www.conocer.gob.mx/contenido/publicaciones_dof/2020/EC1283.pdf</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7020"/>
        <w:tblGridChange w:id="0">
          <w:tblGrid>
            <w:gridCol w:w="1785"/>
            <w:gridCol w:w="7020"/>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3">
            <w:pPr>
              <w:spacing w:after="100" w:lineRule="auto"/>
              <w:ind w:left="220" w:firstLine="0"/>
              <w:jc w:val="both"/>
              <w:rPr>
                <w:sz w:val="18"/>
                <w:szCs w:val="18"/>
              </w:rPr>
            </w:pPr>
            <w:r w:rsidDel="00000000" w:rsidR="00000000" w:rsidRPr="00000000">
              <w:rPr>
                <w:sz w:val="18"/>
                <w:szCs w:val="18"/>
                <w:rtl w:val="0"/>
              </w:rPr>
              <w:t xml:space="preserve">EC1284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4">
            <w:pPr>
              <w:spacing w:after="100" w:lineRule="auto"/>
              <w:ind w:left="80" w:firstLine="0"/>
              <w:jc w:val="both"/>
              <w:rPr>
                <w:sz w:val="18"/>
                <w:szCs w:val="18"/>
              </w:rPr>
            </w:pPr>
            <w:r w:rsidDel="00000000" w:rsidR="00000000" w:rsidRPr="00000000">
              <w:rPr>
                <w:sz w:val="18"/>
                <w:szCs w:val="18"/>
                <w:rtl w:val="0"/>
              </w:rPr>
              <w:t xml:space="preserve">Administración de la logística de hidrocarburos.</w:t>
            </w:r>
          </w:p>
        </w:tc>
      </w:tr>
    </w:tbl>
    <w:p w:rsidR="00000000" w:rsidDel="00000000" w:rsidP="00000000" w:rsidRDefault="00000000" w:rsidRPr="00000000" w14:paraId="000000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documento establece y define las funciones elementales que una persona debe realizar para ser competente en la administración de la logística de hidrocarburos que involucra: planear, organizar, dirigir y controlar la operación de los servicios logísticos de hidrocarburos.</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mismo, el estándar contiene datos de procesos y procedimientos exclusivos de Petróleos Mexicanos, y tomando en cuenta el carácter estratégico y confidencial de los mismos, al contener información sobre el proceso de distribución de hidrocarburos, que al estar disponible de manera pública, puede facilitar la consecución de acciones asociadas al mercado ilícito de combustible, delito de recurrencia significativa en detrimento de la empresa y la nación. De igual forma, las instalaciones, espacios, inmuebles, construcciones, muebles, equipo y demás bienes, son consideradas estratégicas, por tal motivo, de seguridad nacional, de acuerdo con el Art. 146 de la Ley General del Sistema Nacional de Seguridad Pública.</w:t>
      </w:r>
    </w:p>
    <w:p w:rsidR="00000000" w:rsidDel="00000000" w:rsidP="00000000" w:rsidRDefault="00000000" w:rsidRPr="00000000" w14:paraId="000000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https://www.conocer.gob.mx/contenido/publicaciones_dof/2020/EC1284.pdf</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7110"/>
        <w:tblGridChange w:id="0">
          <w:tblGrid>
            <w:gridCol w:w="1695"/>
            <w:gridCol w:w="7110"/>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B">
            <w:pPr>
              <w:spacing w:after="100" w:lineRule="auto"/>
              <w:ind w:left="220" w:firstLine="0"/>
              <w:jc w:val="both"/>
              <w:rPr>
                <w:sz w:val="18"/>
                <w:szCs w:val="18"/>
              </w:rPr>
            </w:pPr>
            <w:r w:rsidDel="00000000" w:rsidR="00000000" w:rsidRPr="00000000">
              <w:rPr>
                <w:sz w:val="18"/>
                <w:szCs w:val="18"/>
                <w:rtl w:val="0"/>
              </w:rPr>
              <w:t xml:space="preserve">EC1285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C">
            <w:pPr>
              <w:spacing w:after="100" w:lineRule="auto"/>
              <w:ind w:left="80" w:firstLine="0"/>
              <w:jc w:val="both"/>
              <w:rPr>
                <w:sz w:val="18"/>
                <w:szCs w:val="18"/>
              </w:rPr>
            </w:pPr>
            <w:r w:rsidDel="00000000" w:rsidR="00000000" w:rsidRPr="00000000">
              <w:rPr>
                <w:sz w:val="18"/>
                <w:szCs w:val="18"/>
                <w:rtl w:val="0"/>
              </w:rPr>
              <w:t xml:space="preserve">Mercadotecnia digital y comercialización transfronteriza.</w:t>
            </w:r>
          </w:p>
        </w:tc>
      </w:tr>
    </w:tbl>
    <w:p w:rsidR="00000000" w:rsidDel="00000000" w:rsidP="00000000" w:rsidRDefault="00000000" w:rsidRPr="00000000" w14:paraId="000000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presente Estándar de Competencia se presentan las funciones sustantivas relacionadas con la comercialización internacional digital de productos. Lo anterior requiere establecer una coordinación y preparación en el proceso de exportación, desde el acondicionamiento del producto, hasta la estrategia de promoción digital implementada; además de la identificación de los documentos obligatorios para dicha actividad y las herramientas existentes hoy en día para llevar a cabo una campaña de promoción digital.</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establecen los conocimientos teóricos y prácticos con los que se debe contar para realizar una operación transfronteriza, así como las actitudes relevantes en su desempeño dentro del comercio electrónico.</w:t>
      </w:r>
    </w:p>
    <w:p w:rsidR="00000000" w:rsidDel="00000000" w:rsidP="00000000" w:rsidRDefault="00000000" w:rsidRPr="00000000" w14:paraId="000000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https://www.conocer.gob.mx/contenido/publicaciones_dof/2020/EC1285.pdf</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005"/>
        <w:tblGridChange w:id="0">
          <w:tblGrid>
            <w:gridCol w:w="1800"/>
            <w:gridCol w:w="700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3">
            <w:pPr>
              <w:spacing w:after="100" w:lineRule="auto"/>
              <w:ind w:left="220" w:firstLine="0"/>
              <w:jc w:val="both"/>
              <w:rPr>
                <w:sz w:val="18"/>
                <w:szCs w:val="18"/>
              </w:rPr>
            </w:pPr>
            <w:r w:rsidDel="00000000" w:rsidR="00000000" w:rsidRPr="00000000">
              <w:rPr>
                <w:sz w:val="18"/>
                <w:szCs w:val="18"/>
                <w:rtl w:val="0"/>
              </w:rPr>
              <w:t xml:space="preserve">EC1286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4">
            <w:pPr>
              <w:spacing w:after="100" w:lineRule="auto"/>
              <w:ind w:left="80" w:firstLine="0"/>
              <w:jc w:val="both"/>
              <w:rPr>
                <w:sz w:val="18"/>
                <w:szCs w:val="18"/>
              </w:rPr>
            </w:pPr>
            <w:r w:rsidDel="00000000" w:rsidR="00000000" w:rsidRPr="00000000">
              <w:rPr>
                <w:sz w:val="18"/>
                <w:szCs w:val="18"/>
                <w:rtl w:val="0"/>
              </w:rPr>
              <w:t xml:space="preserve">Elaboración de productos de pastelería.</w:t>
            </w:r>
          </w:p>
        </w:tc>
      </w:tr>
    </w:tbl>
    <w:p w:rsidR="00000000" w:rsidDel="00000000" w:rsidP="00000000" w:rsidRDefault="00000000" w:rsidRPr="00000000" w14:paraId="000000C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Estándar de Competencia tiene como propósito principal evaluar las habilidades y conocimientos de las personas que desarrollan la función de elaborar productos de pastelería demostrando la destreza que tienen en el manejo del equipo y utensilios requeridos para el proceso de elaboración de este producto. Asimismo, aplican los procesos de producción y verificación para que los productos cumplan con los estándares de calidad establecidos por la empresa/organización antes de poner el producto a la venta.</w:t>
      </w:r>
    </w:p>
    <w:p w:rsidR="00000000" w:rsidDel="00000000" w:rsidP="00000000" w:rsidRDefault="00000000" w:rsidRPr="00000000" w14:paraId="000000C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https://www.conocer.gob.mx/contenido/publicaciones_dof/2020/EC1286.pdf</w:t>
      </w:r>
    </w:p>
    <w:tbl>
      <w:tblPr>
        <w:tblStyle w:val="Table2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C9">
      <w:pPr>
        <w:rPr/>
      </w:pPr>
      <w:r w:rsidDel="00000000" w:rsidR="00000000" w:rsidRPr="00000000">
        <w:rPr>
          <w:rtl w:val="0"/>
        </w:rPr>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005"/>
        <w:tblGridChange w:id="0">
          <w:tblGrid>
            <w:gridCol w:w="1800"/>
            <w:gridCol w:w="7005"/>
          </w:tblGrid>
        </w:tblGridChange>
      </w:tblGrid>
      <w:tr>
        <w:trPr>
          <w:trHeight w:val="77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A">
            <w:pPr>
              <w:spacing w:after="100" w:lineRule="auto"/>
              <w:ind w:left="220" w:firstLine="0"/>
              <w:jc w:val="both"/>
              <w:rPr>
                <w:sz w:val="18"/>
                <w:szCs w:val="18"/>
              </w:rPr>
            </w:pPr>
            <w:r w:rsidDel="00000000" w:rsidR="00000000" w:rsidRPr="00000000">
              <w:rPr>
                <w:sz w:val="18"/>
                <w:szCs w:val="18"/>
                <w:rtl w:val="0"/>
              </w:rPr>
              <w:t xml:space="preserve">EC1287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B">
            <w:pPr>
              <w:spacing w:after="100" w:lineRule="auto"/>
              <w:ind w:left="80" w:firstLine="0"/>
              <w:jc w:val="both"/>
              <w:rPr>
                <w:sz w:val="18"/>
                <w:szCs w:val="18"/>
              </w:rPr>
            </w:pPr>
            <w:r w:rsidDel="00000000" w:rsidR="00000000" w:rsidRPr="00000000">
              <w:rPr>
                <w:sz w:val="18"/>
                <w:szCs w:val="18"/>
                <w:rtl w:val="0"/>
              </w:rPr>
              <w:t xml:space="preserve">Ejecución de actividades con apego a la legalidad para prevenir la corrupción en los procesos de la cadena de suministros.</w:t>
            </w:r>
          </w:p>
        </w:tc>
      </w:tr>
    </w:tbl>
    <w:p w:rsidR="00000000" w:rsidDel="00000000" w:rsidP="00000000" w:rsidRDefault="00000000" w:rsidRPr="00000000" w14:paraId="000000C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Estándar de Competencia describe las características de los productos relativos a los registros de la documentación interna de la organización, de la legislación y normatividad aplicable a su trabajo, y de los riesgos de corrupción identificados y al resultado del predictor conductual anticorrupción contestado por el candidato.</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 lo anterior complementado por los conocimientos específicos necesarios para el desarrollo de las funciones consideradas en el presente EC.</w:t>
      </w:r>
    </w:p>
    <w:p w:rsidR="00000000" w:rsidDel="00000000" w:rsidP="00000000" w:rsidRDefault="00000000" w:rsidRPr="00000000" w14:paraId="000000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https://www.conocer.gob.mx/contenido/publicaciones_dof/2020/EC1287.pdf</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2">
            <w:pPr>
              <w:spacing w:after="100" w:lineRule="auto"/>
              <w:ind w:left="220" w:firstLine="0"/>
              <w:jc w:val="both"/>
              <w:rPr>
                <w:sz w:val="18"/>
                <w:szCs w:val="18"/>
              </w:rPr>
            </w:pPr>
            <w:r w:rsidDel="00000000" w:rsidR="00000000" w:rsidRPr="00000000">
              <w:rPr>
                <w:sz w:val="18"/>
                <w:szCs w:val="18"/>
                <w:rtl w:val="0"/>
              </w:rPr>
              <w:t xml:space="preserve">EC1288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3">
            <w:pPr>
              <w:spacing w:after="100" w:lineRule="auto"/>
              <w:ind w:left="80" w:firstLine="0"/>
              <w:jc w:val="both"/>
              <w:rPr>
                <w:sz w:val="18"/>
                <w:szCs w:val="18"/>
              </w:rPr>
            </w:pPr>
            <w:r w:rsidDel="00000000" w:rsidR="00000000" w:rsidRPr="00000000">
              <w:rPr>
                <w:sz w:val="18"/>
                <w:szCs w:val="18"/>
                <w:rtl w:val="0"/>
              </w:rPr>
              <w:t xml:space="preserve">Supervisión de la evaluación económica de medicamentos y tecnologías sanitarias.</w:t>
            </w:r>
          </w:p>
        </w:tc>
      </w:tr>
    </w:tbl>
    <w:p w:rsidR="00000000" w:rsidDel="00000000" w:rsidP="00000000" w:rsidRDefault="00000000" w:rsidRPr="00000000" w14:paraId="000000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Estándar de Competencia detalla las funciones que debe realizar el supervisor de evaluación económica de medicamentos y tecnologías sanitarias: El candidato a evaluarse deberá verificar que el insumo evaluado cuente con una evaluación económica completa o una evaluación parcial (impacto presupuestal). Aunado a ello, verificará que el estudio contenga los siguientes apartados: Página de presentación, resumen ejecutivo, índice de contenido, índice de tablas y figuras, abreviaturas, glosario, introducción, antecedentes, revisión de la evidencia económica y que esté desarrollado conforme a la metodología de cada empresa/institución/laboratorio.</w:t>
      </w:r>
    </w:p>
    <w:p w:rsidR="00000000" w:rsidDel="00000000" w:rsidP="00000000" w:rsidRDefault="00000000" w:rsidRPr="00000000" w14:paraId="000000D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https://www.conocer.gob.mx/contenido/publicaciones_dof/2020/EC1288.pdf</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7125"/>
        <w:tblGridChange w:id="0">
          <w:tblGrid>
            <w:gridCol w:w="1695"/>
            <w:gridCol w:w="712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9">
            <w:pPr>
              <w:spacing w:after="100" w:lineRule="auto"/>
              <w:ind w:left="220" w:firstLine="0"/>
              <w:jc w:val="both"/>
              <w:rPr>
                <w:sz w:val="18"/>
                <w:szCs w:val="18"/>
              </w:rPr>
            </w:pPr>
            <w:r w:rsidDel="00000000" w:rsidR="00000000" w:rsidRPr="00000000">
              <w:rPr>
                <w:sz w:val="18"/>
                <w:szCs w:val="18"/>
                <w:rtl w:val="0"/>
              </w:rPr>
              <w:t xml:space="preserve">EC1289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A">
            <w:pPr>
              <w:spacing w:after="100" w:lineRule="auto"/>
              <w:ind w:left="80" w:firstLine="0"/>
              <w:jc w:val="both"/>
              <w:rPr>
                <w:sz w:val="18"/>
                <w:szCs w:val="18"/>
              </w:rPr>
            </w:pPr>
            <w:r w:rsidDel="00000000" w:rsidR="00000000" w:rsidRPr="00000000">
              <w:rPr>
                <w:sz w:val="18"/>
                <w:szCs w:val="18"/>
                <w:rtl w:val="0"/>
              </w:rPr>
              <w:t xml:space="preserve">Supervisión de la evaluación técnica de medicamentos y tecnologías sanitarias.</w:t>
            </w:r>
          </w:p>
        </w:tc>
      </w:tr>
    </w:tbl>
    <w:p w:rsidR="00000000" w:rsidDel="00000000" w:rsidP="00000000" w:rsidRDefault="00000000" w:rsidRPr="00000000" w14:paraId="000000D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Estándar de Competencia describe los desempeños que realiza un supervisor de evaluación técnica de medicamentos y tecnologías sanitarias, verificando que el insumo evaluado cuente con una evaluación técnica y una económica de tecnologías sanitarias completas o una evaluación parcial. Aunado a ello, verificará que el estudio contenga los siguientes apartados: Página de presentación, resumen ejecutivo, índice de contenido, índice de tablas y figuras, abreviaturas, glosario, introducción, antecedentes, revisión de la evidencia económica y metodología.</w:t>
      </w:r>
    </w:p>
    <w:p w:rsidR="00000000" w:rsidDel="00000000" w:rsidP="00000000" w:rsidRDefault="00000000" w:rsidRPr="00000000" w14:paraId="000000D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https://www.conocer.gob.mx/contenido/publicaciones_dof/2020/EC1289.pdf</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005"/>
        <w:tblGridChange w:id="0">
          <w:tblGrid>
            <w:gridCol w:w="1800"/>
            <w:gridCol w:w="700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0">
            <w:pPr>
              <w:spacing w:after="100" w:lineRule="auto"/>
              <w:ind w:left="220" w:firstLine="0"/>
              <w:jc w:val="both"/>
              <w:rPr>
                <w:sz w:val="18"/>
                <w:szCs w:val="18"/>
              </w:rPr>
            </w:pPr>
            <w:r w:rsidDel="00000000" w:rsidR="00000000" w:rsidRPr="00000000">
              <w:rPr>
                <w:sz w:val="18"/>
                <w:szCs w:val="18"/>
                <w:rtl w:val="0"/>
              </w:rPr>
              <w:t xml:space="preserve">EC1200.01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1">
            <w:pPr>
              <w:spacing w:after="100" w:lineRule="auto"/>
              <w:ind w:left="80" w:firstLine="0"/>
              <w:jc w:val="both"/>
              <w:rPr>
                <w:sz w:val="18"/>
                <w:szCs w:val="18"/>
              </w:rPr>
            </w:pPr>
            <w:r w:rsidDel="00000000" w:rsidR="00000000" w:rsidRPr="00000000">
              <w:rPr>
                <w:sz w:val="18"/>
                <w:szCs w:val="18"/>
                <w:rtl w:val="0"/>
              </w:rPr>
              <w:t xml:space="preserve">Realización del estudio de espirometría.</w:t>
            </w:r>
          </w:p>
        </w:tc>
      </w:tr>
    </w:tbl>
    <w:p w:rsidR="00000000" w:rsidDel="00000000" w:rsidP="00000000" w:rsidRDefault="00000000" w:rsidRPr="00000000" w14:paraId="000000E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estándar</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establecen los lineamientos para la realización de un estudio de espirometría, considerando la preparación del equipo de espirometría para asegurar estudios confiables y precisos, la preparación de la persona y la realización de la maniobra con el reporte correspondiente, todo esto en el marco de un adecuado control de calidad. También establece los conocimientos teóricos, básicos y aplicables con los que deberá contar la persona para la realización de dicha función, así como las actitudes relevantes que deberá mostrar en su desempeño.</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EC actualiza al EC1200 "Realización del estudio de espirometría", publicado en el Diario Oficial de la Federación el 5 de noviembre de 2019.</w:t>
      </w:r>
    </w:p>
    <w:p w:rsidR="00000000" w:rsidDel="00000000" w:rsidP="00000000" w:rsidRDefault="00000000" w:rsidRPr="00000000" w14:paraId="000000E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https://conocer.gob.mx/contenido/publicaciones_dof/2020/EC1200_01.pdf</w:t>
      </w:r>
    </w:p>
    <w:tbl>
      <w:tblPr>
        <w:tblStyle w:val="Table3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E7">
      <w:pPr>
        <w:rPr/>
      </w:pPr>
      <w:r w:rsidDel="00000000" w:rsidR="00000000" w:rsidRPr="00000000">
        <w:rPr>
          <w:rtl w:val="0"/>
        </w:rPr>
      </w:r>
    </w:p>
    <w:tbl>
      <w:tblPr>
        <w:tblStyle w:val="Table3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7245"/>
        <w:tblGridChange w:id="0">
          <w:tblGrid>
            <w:gridCol w:w="1575"/>
            <w:gridCol w:w="7245"/>
          </w:tblGrid>
        </w:tblGridChange>
      </w:tblGrid>
      <w:tr>
        <w:trPr>
          <w:trHeight w:val="93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8">
            <w:pPr>
              <w:spacing w:after="80" w:lineRule="auto"/>
              <w:ind w:left="220" w:firstLine="0"/>
              <w:jc w:val="both"/>
              <w:rPr>
                <w:sz w:val="18"/>
                <w:szCs w:val="18"/>
              </w:rPr>
            </w:pPr>
            <w:r w:rsidDel="00000000" w:rsidR="00000000" w:rsidRPr="00000000">
              <w:rPr>
                <w:sz w:val="18"/>
                <w:szCs w:val="18"/>
                <w:rtl w:val="0"/>
              </w:rPr>
              <w:t xml:space="preserve">EC0939.01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9">
            <w:pPr>
              <w:spacing w:after="80" w:lineRule="auto"/>
              <w:ind w:left="80" w:firstLine="0"/>
              <w:jc w:val="both"/>
              <w:rPr>
                <w:sz w:val="18"/>
                <w:szCs w:val="18"/>
              </w:rPr>
            </w:pPr>
            <w:r w:rsidDel="00000000" w:rsidR="00000000" w:rsidRPr="00000000">
              <w:rPr>
                <w:sz w:val="18"/>
                <w:szCs w:val="18"/>
                <w:rtl w:val="0"/>
              </w:rPr>
              <w:t xml:space="preserve">Aplicación de las reglas para el otorgamiento del crédito a los/las trabajadores(as) derechohabientes del Infonavit en las diferentes alternativas de financiamiento.</w:t>
            </w:r>
          </w:p>
        </w:tc>
      </w:tr>
    </w:tbl>
    <w:p w:rsidR="00000000" w:rsidDel="00000000" w:rsidP="00000000" w:rsidRDefault="00000000" w:rsidRPr="00000000" w14:paraId="000000E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E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aplicación de las reglas para el otorgamiento del crédito a los/las trabajadores(as) derechohabientes del Infonavit en las diferentes alternativas de financiamiento, se distingue por las tres funciones elementales que una persona debe realizar para otorgar excelencia en el servicio a los y las derechohabientes en la toma de decisiones para la adquisición de un patrimonio.</w:t>
      </w:r>
    </w:p>
    <w:p w:rsidR="00000000" w:rsidDel="00000000" w:rsidP="00000000" w:rsidRDefault="00000000" w:rsidRPr="00000000" w14:paraId="000000E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actualiza el EC0939 "Aplicación de las reglas para el otorgamiento del primer crédito hipotecario a las/los trabajadores derechohabientes del INFONAVIT en los diferentes productos", publicado en el Diario Oficial de la Federación el 14 de diciembre de 2017.</w:t>
      </w:r>
    </w:p>
    <w:p w:rsidR="00000000" w:rsidDel="00000000" w:rsidP="00000000" w:rsidRDefault="00000000" w:rsidRPr="00000000" w14:paraId="000000E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E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https://www.conocer.gob.mx/contenido/publicaciones_dof/2020/EC0939_01.pdf</w:t>
      </w:r>
    </w:p>
    <w:p w:rsidR="00000000" w:rsidDel="00000000" w:rsidP="00000000" w:rsidRDefault="00000000" w:rsidRPr="00000000" w14:paraId="000000E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7065"/>
        <w:tblGridChange w:id="0">
          <w:tblGrid>
            <w:gridCol w:w="1755"/>
            <w:gridCol w:w="7065"/>
          </w:tblGrid>
        </w:tblGridChange>
      </w:tblGrid>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0">
            <w:pPr>
              <w:spacing w:after="80" w:lineRule="auto"/>
              <w:ind w:left="220" w:firstLine="0"/>
              <w:jc w:val="both"/>
              <w:rPr>
                <w:sz w:val="18"/>
                <w:szCs w:val="18"/>
              </w:rPr>
            </w:pPr>
            <w:r w:rsidDel="00000000" w:rsidR="00000000" w:rsidRPr="00000000">
              <w:rPr>
                <w:sz w:val="18"/>
                <w:szCs w:val="18"/>
                <w:rtl w:val="0"/>
              </w:rPr>
              <w:t xml:space="preserve">EC1290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1">
            <w:pPr>
              <w:spacing w:after="80" w:lineRule="auto"/>
              <w:ind w:left="80" w:firstLine="0"/>
              <w:jc w:val="both"/>
              <w:rPr>
                <w:sz w:val="18"/>
                <w:szCs w:val="18"/>
              </w:rPr>
            </w:pPr>
            <w:r w:rsidDel="00000000" w:rsidR="00000000" w:rsidRPr="00000000">
              <w:rPr>
                <w:sz w:val="18"/>
                <w:szCs w:val="18"/>
                <w:rtl w:val="0"/>
              </w:rPr>
              <w:t xml:space="preserve">Asesoría en Seguridad Nacional/ Defensa Nacional/ Defensa Exterior para generar estrategias que atiendan a mitigar riesgos/ amenazas al país.</w:t>
            </w:r>
          </w:p>
        </w:tc>
      </w:tr>
    </w:tbl>
    <w:p w:rsidR="00000000" w:rsidDel="00000000" w:rsidP="00000000" w:rsidRDefault="00000000" w:rsidRPr="00000000" w14:paraId="000000F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F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estándar describe la función de la persona cuando determina los riesgos/amenazas, su impacto en la Seguridad Nacional/ Defensa Nacional/ Defensa Exterior y las capacidades del poder de gobierno, así como la elaboración de una planeación estratégica que atienda los riesgos/ amenazas.</w:t>
      </w:r>
    </w:p>
    <w:p w:rsidR="00000000" w:rsidDel="00000000" w:rsidP="00000000" w:rsidRDefault="00000000" w:rsidRPr="00000000" w14:paraId="000000F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F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https://www.conocer.gob.mx/contenido/publicaciones_dof/2020/EC1290.pdf</w:t>
      </w:r>
    </w:p>
    <w:p w:rsidR="00000000" w:rsidDel="00000000" w:rsidP="00000000" w:rsidRDefault="00000000" w:rsidRPr="00000000" w14:paraId="000000F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7035"/>
        <w:tblGridChange w:id="0">
          <w:tblGrid>
            <w:gridCol w:w="1785"/>
            <w:gridCol w:w="7035"/>
          </w:tblGrid>
        </w:tblGridChange>
      </w:tblGrid>
      <w:tr>
        <w:trPr>
          <w:trHeight w:val="7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7">
            <w:pPr>
              <w:spacing w:after="80" w:lineRule="auto"/>
              <w:ind w:left="220" w:firstLine="0"/>
              <w:jc w:val="both"/>
              <w:rPr>
                <w:sz w:val="18"/>
                <w:szCs w:val="18"/>
              </w:rPr>
            </w:pPr>
            <w:r w:rsidDel="00000000" w:rsidR="00000000" w:rsidRPr="00000000">
              <w:rPr>
                <w:sz w:val="18"/>
                <w:szCs w:val="18"/>
                <w:rtl w:val="0"/>
              </w:rPr>
              <w:t xml:space="preserve">ECM0324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8">
            <w:pPr>
              <w:spacing w:after="80" w:lineRule="auto"/>
              <w:ind w:left="80" w:firstLine="0"/>
              <w:jc w:val="both"/>
              <w:rPr>
                <w:sz w:val="18"/>
                <w:szCs w:val="18"/>
              </w:rPr>
            </w:pPr>
            <w:r w:rsidDel="00000000" w:rsidR="00000000" w:rsidRPr="00000000">
              <w:rPr>
                <w:sz w:val="18"/>
                <w:szCs w:val="18"/>
                <w:rtl w:val="0"/>
              </w:rPr>
              <w:t xml:space="preserve">Simulación numérica del oleaje de una zona de estudio mediante un modelo de tercera generación.</w:t>
            </w:r>
          </w:p>
        </w:tc>
      </w:tr>
    </w:tbl>
    <w:p w:rsidR="00000000" w:rsidDel="00000000" w:rsidP="00000000" w:rsidRDefault="00000000" w:rsidRPr="00000000" w14:paraId="000000F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0F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estándar está diseñado para evaluar las principales competencias para realizar la simulación numérica del oleaje de una zona de estudio mediante un modelo de tercera generación para satisfacer las necesidades de la industria del petróleo. Considera la definición del dominio de estudio y la ejecución del modelo de oleaje hasta el post-procesamiento de los resultados de la simulación numérica de oleaje.</w:t>
      </w:r>
    </w:p>
    <w:p w:rsidR="00000000" w:rsidDel="00000000" w:rsidP="00000000" w:rsidRDefault="00000000" w:rsidRPr="00000000" w14:paraId="000000F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0F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https://www.conocer.gob.mx/contenido/publicaciones_dof/2020/ECM0324.pdf</w:t>
      </w:r>
    </w:p>
    <w:p w:rsidR="00000000" w:rsidDel="00000000" w:rsidP="00000000" w:rsidRDefault="00000000" w:rsidRPr="00000000" w14:paraId="000000F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005"/>
        <w:tblGridChange w:id="0">
          <w:tblGrid>
            <w:gridCol w:w="1800"/>
            <w:gridCol w:w="700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E">
            <w:pPr>
              <w:spacing w:after="80" w:lineRule="auto"/>
              <w:ind w:left="220" w:firstLine="0"/>
              <w:jc w:val="both"/>
              <w:rPr>
                <w:sz w:val="18"/>
                <w:szCs w:val="18"/>
              </w:rPr>
            </w:pPr>
            <w:r w:rsidDel="00000000" w:rsidR="00000000" w:rsidRPr="00000000">
              <w:rPr>
                <w:sz w:val="18"/>
                <w:szCs w:val="18"/>
                <w:rtl w:val="0"/>
              </w:rPr>
              <w:t xml:space="preserve">ECM0325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F">
            <w:pPr>
              <w:spacing w:after="80" w:lineRule="auto"/>
              <w:ind w:left="80" w:firstLine="0"/>
              <w:jc w:val="both"/>
              <w:rPr>
                <w:sz w:val="18"/>
                <w:szCs w:val="18"/>
              </w:rPr>
            </w:pPr>
            <w:r w:rsidDel="00000000" w:rsidR="00000000" w:rsidRPr="00000000">
              <w:rPr>
                <w:sz w:val="18"/>
                <w:szCs w:val="18"/>
                <w:rtl w:val="0"/>
              </w:rPr>
              <w:t xml:space="preserve">Interpretación de simulaciones de procesos de producción.</w:t>
            </w:r>
          </w:p>
        </w:tc>
      </w:tr>
    </w:tbl>
    <w:p w:rsidR="00000000" w:rsidDel="00000000" w:rsidP="00000000" w:rsidRDefault="00000000" w:rsidRPr="00000000" w14:paraId="0000010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10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estándar está diseñado para evaluar las principales competencias para interpretar simulaciones de procesos de producción en el ámbito petrolero, cuyas actividades comprenden desde la recopilación de información hasta el análisis de la misma, que se plasma en la generación de simulaciones de procesos de producción. Con esto se realizan escenarios diversos, y se elige el óptimo para mejores logros en el proceso de producción del yacimiento.</w:t>
      </w:r>
    </w:p>
    <w:p w:rsidR="00000000" w:rsidDel="00000000" w:rsidP="00000000" w:rsidRDefault="00000000" w:rsidRPr="00000000" w14:paraId="0000010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10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https://www.conocer.gob.mx/contenido/publicaciones_dof/2020/ECM0325.pdf</w:t>
      </w:r>
    </w:p>
    <w:p w:rsidR="00000000" w:rsidDel="00000000" w:rsidP="00000000" w:rsidRDefault="00000000" w:rsidRPr="00000000" w14:paraId="0000010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6915"/>
        <w:tblGridChange w:id="0">
          <w:tblGrid>
            <w:gridCol w:w="1905"/>
            <w:gridCol w:w="6915"/>
          </w:tblGrid>
        </w:tblGridChange>
      </w:tblGrid>
      <w:tr>
        <w:trPr>
          <w:trHeight w:val="5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5">
            <w:pPr>
              <w:spacing w:after="80" w:lineRule="auto"/>
              <w:ind w:left="220" w:firstLine="0"/>
              <w:jc w:val="both"/>
              <w:rPr>
                <w:sz w:val="18"/>
                <w:szCs w:val="18"/>
              </w:rPr>
            </w:pPr>
            <w:r w:rsidDel="00000000" w:rsidR="00000000" w:rsidRPr="00000000">
              <w:rPr>
                <w:sz w:val="18"/>
                <w:szCs w:val="18"/>
                <w:rtl w:val="0"/>
              </w:rPr>
              <w:t xml:space="preserve">ECM0326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6">
            <w:pPr>
              <w:spacing w:after="80" w:lineRule="auto"/>
              <w:ind w:left="80" w:firstLine="0"/>
              <w:jc w:val="both"/>
              <w:rPr>
                <w:sz w:val="18"/>
                <w:szCs w:val="18"/>
              </w:rPr>
            </w:pPr>
            <w:r w:rsidDel="00000000" w:rsidR="00000000" w:rsidRPr="00000000">
              <w:rPr>
                <w:sz w:val="18"/>
                <w:szCs w:val="18"/>
                <w:rtl w:val="0"/>
              </w:rPr>
              <w:t xml:space="preserve">Elaboración del análisis sedimentológico de rocas carbonatadas.</w:t>
            </w:r>
          </w:p>
        </w:tc>
      </w:tr>
    </w:tbl>
    <w:p w:rsidR="00000000" w:rsidDel="00000000" w:rsidP="00000000" w:rsidRDefault="00000000" w:rsidRPr="00000000" w14:paraId="0000010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1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estándar está diseñado para evaluar las principales competencias para elaborar análisis sedimentológicos de rocas carbonatadas, cuyas actividades comprenden desde la recolección de información hasta el análisis de la misma. Esto permite determinar la existencia dentro del yacimiento de áreas de mayor explotación o zonas de posibles riesgos, lo que permite una mayor efectividad y seguridad en la explotación del yacimiento.</w:t>
      </w:r>
    </w:p>
    <w:p w:rsidR="00000000" w:rsidDel="00000000" w:rsidP="00000000" w:rsidRDefault="00000000" w:rsidRPr="00000000" w14:paraId="0000010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1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https://www.conocer.gob.mx/contenido/publicaciones_dof/2020/ECM0326.pdf</w:t>
      </w:r>
    </w:p>
    <w:tbl>
      <w:tblPr>
        <w:tblStyle w:val="Table3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0B">
      <w:pPr>
        <w:rPr/>
      </w:pPr>
      <w:r w:rsidDel="00000000" w:rsidR="00000000" w:rsidRPr="00000000">
        <w:rPr>
          <w:rtl w:val="0"/>
        </w:rPr>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005"/>
        <w:tblGridChange w:id="0">
          <w:tblGrid>
            <w:gridCol w:w="1800"/>
            <w:gridCol w:w="7005"/>
          </w:tblGrid>
        </w:tblGridChange>
      </w:tblGrid>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C">
            <w:pPr>
              <w:spacing w:after="100" w:lineRule="auto"/>
              <w:ind w:left="220" w:firstLine="0"/>
              <w:jc w:val="both"/>
              <w:rPr>
                <w:sz w:val="18"/>
                <w:szCs w:val="18"/>
              </w:rPr>
            </w:pPr>
            <w:r w:rsidDel="00000000" w:rsidR="00000000" w:rsidRPr="00000000">
              <w:rPr>
                <w:sz w:val="18"/>
                <w:szCs w:val="18"/>
                <w:rtl w:val="0"/>
              </w:rPr>
              <w:t xml:space="preserve">ECM0327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D">
            <w:pPr>
              <w:spacing w:after="100" w:lineRule="auto"/>
              <w:ind w:left="80" w:firstLine="0"/>
              <w:jc w:val="both"/>
              <w:rPr>
                <w:sz w:val="18"/>
                <w:szCs w:val="18"/>
              </w:rPr>
            </w:pPr>
            <w:r w:rsidDel="00000000" w:rsidR="00000000" w:rsidRPr="00000000">
              <w:rPr>
                <w:sz w:val="18"/>
                <w:szCs w:val="18"/>
                <w:rtl w:val="0"/>
              </w:rPr>
              <w:t xml:space="preserve">Microsoft Office Access Expert 2019.</w:t>
            </w:r>
          </w:p>
        </w:tc>
      </w:tr>
    </w:tbl>
    <w:p w:rsidR="00000000" w:rsidDel="00000000" w:rsidP="00000000" w:rsidRDefault="00000000" w:rsidRPr="00000000" w14:paraId="000001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estándar está diseñado para evaluar las principales competencias en el uso y diseño de bases de datos en Access 2019, así como la habilidad de crear y gestionar sus objetos, incluyendo tablas, relaciones, formularios de entrada de datos, informes multinivel y consultas de tabla múltiple para mejorar la productividad y la optimización del uso de datos.</w:t>
      </w:r>
    </w:p>
    <w:p w:rsidR="00000000" w:rsidDel="00000000" w:rsidP="00000000" w:rsidRDefault="00000000" w:rsidRPr="00000000" w14:paraId="000001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https://www.conocer.gob.mx/contenido/publicaciones_dof/2020/ECM0327.pdf</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005"/>
        <w:tblGridChange w:id="0">
          <w:tblGrid>
            <w:gridCol w:w="1800"/>
            <w:gridCol w:w="7005"/>
          </w:tblGrid>
        </w:tblGridChange>
      </w:tblGrid>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3">
            <w:pPr>
              <w:spacing w:after="100" w:lineRule="auto"/>
              <w:ind w:left="220" w:firstLine="0"/>
              <w:jc w:val="both"/>
              <w:rPr>
                <w:sz w:val="18"/>
                <w:szCs w:val="18"/>
              </w:rPr>
            </w:pPr>
            <w:r w:rsidDel="00000000" w:rsidR="00000000" w:rsidRPr="00000000">
              <w:rPr>
                <w:sz w:val="18"/>
                <w:szCs w:val="18"/>
                <w:rtl w:val="0"/>
              </w:rPr>
              <w:t xml:space="preserve">ECM0328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4">
            <w:pPr>
              <w:spacing w:after="100" w:lineRule="auto"/>
              <w:ind w:left="80" w:firstLine="0"/>
              <w:jc w:val="both"/>
              <w:rPr>
                <w:sz w:val="18"/>
                <w:szCs w:val="18"/>
              </w:rPr>
            </w:pPr>
            <w:r w:rsidDel="00000000" w:rsidR="00000000" w:rsidRPr="00000000">
              <w:rPr>
                <w:sz w:val="18"/>
                <w:szCs w:val="18"/>
                <w:rtl w:val="0"/>
              </w:rPr>
              <w:t xml:space="preserve">Microsoft Office Excel 2019.</w:t>
            </w:r>
          </w:p>
        </w:tc>
      </w:tr>
    </w:tbl>
    <w:p w:rsidR="00000000" w:rsidDel="00000000" w:rsidP="00000000" w:rsidRDefault="00000000" w:rsidRPr="00000000" w14:paraId="000001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estándar está diseñado para evaluar las principales competencias en la utilización del entorno de Excel 2019, la habilidad de completar tareas de forma independiente, la correcta aplicación de las funciones fundamentales de Excel 2019, la creación y edición de un libro con hojas múltiples y la utilización de un elemento gráfico para representar los datos de manera visual.</w:t>
      </w:r>
    </w:p>
    <w:p w:rsidR="00000000" w:rsidDel="00000000" w:rsidP="00000000" w:rsidRDefault="00000000" w:rsidRPr="00000000" w14:paraId="000001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https://www.conocer.gob.mx/contenido/publicaciones_dof/2020/ECM0328.pdf</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005"/>
        <w:tblGridChange w:id="0">
          <w:tblGrid>
            <w:gridCol w:w="1800"/>
            <w:gridCol w:w="7005"/>
          </w:tblGrid>
        </w:tblGridChange>
      </w:tblGrid>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A">
            <w:pPr>
              <w:spacing w:after="100" w:lineRule="auto"/>
              <w:ind w:left="220" w:firstLine="0"/>
              <w:jc w:val="both"/>
              <w:rPr>
                <w:sz w:val="18"/>
                <w:szCs w:val="18"/>
              </w:rPr>
            </w:pPr>
            <w:r w:rsidDel="00000000" w:rsidR="00000000" w:rsidRPr="00000000">
              <w:rPr>
                <w:sz w:val="18"/>
                <w:szCs w:val="18"/>
                <w:rtl w:val="0"/>
              </w:rPr>
              <w:t xml:space="preserve">ECM0329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B">
            <w:pPr>
              <w:spacing w:after="100" w:lineRule="auto"/>
              <w:ind w:left="80" w:firstLine="0"/>
              <w:jc w:val="both"/>
              <w:rPr>
                <w:sz w:val="18"/>
                <w:szCs w:val="18"/>
              </w:rPr>
            </w:pPr>
            <w:r w:rsidDel="00000000" w:rsidR="00000000" w:rsidRPr="00000000">
              <w:rPr>
                <w:sz w:val="18"/>
                <w:szCs w:val="18"/>
                <w:rtl w:val="0"/>
              </w:rPr>
              <w:t xml:space="preserve">Microsoft Office Excel Expert 2019.</w:t>
            </w:r>
          </w:p>
        </w:tc>
      </w:tr>
    </w:tbl>
    <w:p w:rsidR="00000000" w:rsidDel="00000000" w:rsidP="00000000" w:rsidRDefault="00000000" w:rsidRPr="00000000" w14:paraId="000001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estándar está diseñado para evaluar las principales competencias requeridas para la creación, gestión y distribución de hojas de cálculo profesionales para una variedad de propósitos y situaciones especializadas. Asimismo, evalúa la habilidad de personalizar los entornos de Excel 2019 para mejorar la productividad y satisfacer las necesidades de una diversa gama de proyectos como plantillas de negocios personalizadas, gráficos financieros de múltiples ejes, tablas de amortización y hojas de inventario.</w:t>
      </w:r>
    </w:p>
    <w:p w:rsidR="00000000" w:rsidDel="00000000" w:rsidP="00000000" w:rsidRDefault="00000000" w:rsidRPr="00000000" w14:paraId="000001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https://www.conocer.gob.mx/contenido/publicaciones_dof/2020/ECM0329.pdf</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005"/>
        <w:tblGridChange w:id="0">
          <w:tblGrid>
            <w:gridCol w:w="1800"/>
            <w:gridCol w:w="7005"/>
          </w:tblGrid>
        </w:tblGridChange>
      </w:tblGrid>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1">
            <w:pPr>
              <w:spacing w:after="100" w:lineRule="auto"/>
              <w:ind w:left="220" w:firstLine="0"/>
              <w:jc w:val="both"/>
              <w:rPr>
                <w:sz w:val="18"/>
                <w:szCs w:val="18"/>
              </w:rPr>
            </w:pPr>
            <w:r w:rsidDel="00000000" w:rsidR="00000000" w:rsidRPr="00000000">
              <w:rPr>
                <w:sz w:val="18"/>
                <w:szCs w:val="18"/>
                <w:rtl w:val="0"/>
              </w:rPr>
              <w:t xml:space="preserve">ECM0330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2">
            <w:pPr>
              <w:spacing w:after="100" w:lineRule="auto"/>
              <w:ind w:left="80" w:firstLine="0"/>
              <w:jc w:val="both"/>
              <w:rPr>
                <w:sz w:val="18"/>
                <w:szCs w:val="18"/>
              </w:rPr>
            </w:pPr>
            <w:r w:rsidDel="00000000" w:rsidR="00000000" w:rsidRPr="00000000">
              <w:rPr>
                <w:sz w:val="18"/>
                <w:szCs w:val="18"/>
                <w:rtl w:val="0"/>
              </w:rPr>
              <w:t xml:space="preserve">Microsoft Office Outlook 2019.</w:t>
            </w:r>
          </w:p>
        </w:tc>
      </w:tr>
    </w:tbl>
    <w:p w:rsidR="00000000" w:rsidDel="00000000" w:rsidP="00000000" w:rsidRDefault="00000000" w:rsidRPr="00000000" w14:paraId="000001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estándar está diseñado para evaluar las principales competencias para crear y editar mensajes de correo electrónico con aspecto profesional, crear y gestionar calendarios a través de los husos horarios, programar citas y tareas, así como planear reuniones para una variedad de propósitos y situaciones en Outlook 2019, para incrementar la productividad.</w:t>
      </w:r>
    </w:p>
    <w:p w:rsidR="00000000" w:rsidDel="00000000" w:rsidP="00000000" w:rsidRDefault="00000000" w:rsidRPr="00000000" w14:paraId="000001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https://www.conocer.gob.mx/contenido/publicaciones_dof/2020/ECM0330.pdf</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005"/>
        <w:tblGridChange w:id="0">
          <w:tblGrid>
            <w:gridCol w:w="1800"/>
            <w:gridCol w:w="7005"/>
          </w:tblGrid>
        </w:tblGridChange>
      </w:tblGrid>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8">
            <w:pPr>
              <w:spacing w:after="100" w:lineRule="auto"/>
              <w:ind w:left="220" w:firstLine="0"/>
              <w:jc w:val="both"/>
              <w:rPr>
                <w:sz w:val="18"/>
                <w:szCs w:val="18"/>
              </w:rPr>
            </w:pPr>
            <w:r w:rsidDel="00000000" w:rsidR="00000000" w:rsidRPr="00000000">
              <w:rPr>
                <w:sz w:val="18"/>
                <w:szCs w:val="18"/>
                <w:rtl w:val="0"/>
              </w:rPr>
              <w:t xml:space="preserve">ECM0331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9">
            <w:pPr>
              <w:spacing w:after="100" w:lineRule="auto"/>
              <w:ind w:left="80" w:firstLine="0"/>
              <w:jc w:val="both"/>
              <w:rPr>
                <w:sz w:val="18"/>
                <w:szCs w:val="18"/>
              </w:rPr>
            </w:pPr>
            <w:r w:rsidDel="00000000" w:rsidR="00000000" w:rsidRPr="00000000">
              <w:rPr>
                <w:sz w:val="18"/>
                <w:szCs w:val="18"/>
                <w:rtl w:val="0"/>
              </w:rPr>
              <w:t xml:space="preserve">Microsoft Office PowerPoint 2019.</w:t>
            </w:r>
          </w:p>
        </w:tc>
      </w:tr>
    </w:tbl>
    <w:p w:rsidR="00000000" w:rsidDel="00000000" w:rsidP="00000000" w:rsidRDefault="00000000" w:rsidRPr="00000000" w14:paraId="000001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estándar está diseñado para evaluar las principales competencias en la utilización del entorno de PowerPoint 2019 y la habilidad de crear, editar, y mejorar las presentaciones y las exposiciones con diapositivas para una amplia gama de casos como presentaciones de ventas con un grado profesional, capacitación de empleados, materiales instructivos, y presentaciones de quiosco.</w:t>
      </w:r>
    </w:p>
    <w:p w:rsidR="00000000" w:rsidDel="00000000" w:rsidP="00000000" w:rsidRDefault="00000000" w:rsidRPr="00000000" w14:paraId="000001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https://www.conocer.gob.mx/contenido/publicaciones_dof/2020/ECM0331.pdf</w:t>
      </w:r>
    </w:p>
    <w:tbl>
      <w:tblPr>
        <w:tblStyle w:val="Table4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2E">
      <w:pPr>
        <w:rPr/>
      </w:pPr>
      <w:r w:rsidDel="00000000" w:rsidR="00000000" w:rsidRPr="00000000">
        <w:rPr>
          <w:rtl w:val="0"/>
        </w:rPr>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005"/>
        <w:tblGridChange w:id="0">
          <w:tblGrid>
            <w:gridCol w:w="1800"/>
            <w:gridCol w:w="7005"/>
          </w:tblGrid>
        </w:tblGridChange>
      </w:tblGrid>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F">
            <w:pPr>
              <w:spacing w:after="100" w:lineRule="auto"/>
              <w:ind w:left="220" w:firstLine="0"/>
              <w:jc w:val="both"/>
              <w:rPr>
                <w:sz w:val="18"/>
                <w:szCs w:val="18"/>
              </w:rPr>
            </w:pPr>
            <w:r w:rsidDel="00000000" w:rsidR="00000000" w:rsidRPr="00000000">
              <w:rPr>
                <w:sz w:val="18"/>
                <w:szCs w:val="18"/>
                <w:rtl w:val="0"/>
              </w:rPr>
              <w:t xml:space="preserve">ECM0332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0">
            <w:pPr>
              <w:spacing w:after="100" w:lineRule="auto"/>
              <w:ind w:left="80" w:firstLine="0"/>
              <w:jc w:val="both"/>
              <w:rPr>
                <w:sz w:val="18"/>
                <w:szCs w:val="18"/>
              </w:rPr>
            </w:pPr>
            <w:r w:rsidDel="00000000" w:rsidR="00000000" w:rsidRPr="00000000">
              <w:rPr>
                <w:sz w:val="18"/>
                <w:szCs w:val="18"/>
                <w:rtl w:val="0"/>
              </w:rPr>
              <w:t xml:space="preserve">Microsoft Office Word 2019.</w:t>
            </w:r>
          </w:p>
        </w:tc>
      </w:tr>
    </w:tbl>
    <w:p w:rsidR="00000000" w:rsidDel="00000000" w:rsidP="00000000" w:rsidRDefault="00000000" w:rsidRPr="00000000" w14:paraId="000001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estándar está diseñado para evaluar las principales competencias en la utilización del entorno de Word 2019 y la habilidad de completar tareas de forma independiente. Asimismo, evalúa la correcta aplicación de las funciones fundamentales de Word 2019 al crear y editar documentos para una variedad de propósitos y situaciones.</w:t>
      </w:r>
    </w:p>
    <w:p w:rsidR="00000000" w:rsidDel="00000000" w:rsidP="00000000" w:rsidRDefault="00000000" w:rsidRPr="00000000" w14:paraId="000001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https://www.conocer.gob.mx/contenido/publicaciones_dof/2020/ECM0332.pdf</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005"/>
        <w:tblGridChange w:id="0">
          <w:tblGrid>
            <w:gridCol w:w="1800"/>
            <w:gridCol w:w="7005"/>
          </w:tblGrid>
        </w:tblGridChange>
      </w:tblGrid>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6">
            <w:pPr>
              <w:spacing w:after="100" w:lineRule="auto"/>
              <w:ind w:left="220" w:firstLine="0"/>
              <w:jc w:val="both"/>
              <w:rPr>
                <w:sz w:val="18"/>
                <w:szCs w:val="18"/>
              </w:rPr>
            </w:pPr>
            <w:r w:rsidDel="00000000" w:rsidR="00000000" w:rsidRPr="00000000">
              <w:rPr>
                <w:sz w:val="18"/>
                <w:szCs w:val="18"/>
                <w:rtl w:val="0"/>
              </w:rPr>
              <w:t xml:space="preserve">ECM0333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7">
            <w:pPr>
              <w:spacing w:after="100" w:lineRule="auto"/>
              <w:ind w:left="80" w:firstLine="0"/>
              <w:jc w:val="both"/>
              <w:rPr>
                <w:sz w:val="18"/>
                <w:szCs w:val="18"/>
              </w:rPr>
            </w:pPr>
            <w:r w:rsidDel="00000000" w:rsidR="00000000" w:rsidRPr="00000000">
              <w:rPr>
                <w:sz w:val="18"/>
                <w:szCs w:val="18"/>
                <w:rtl w:val="0"/>
              </w:rPr>
              <w:t xml:space="preserve">Microsoft Office Word Expert 2019.</w:t>
            </w:r>
          </w:p>
        </w:tc>
      </w:tr>
    </w:tbl>
    <w:p w:rsidR="00000000" w:rsidDel="00000000" w:rsidP="00000000" w:rsidRDefault="00000000" w:rsidRPr="00000000" w14:paraId="000001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estándar está diseñado para evaluar las principales competencias en el uso de las funciones avanzadas de Word 2019 y la gestión de documentos profesionales, contenidos y formatos para una variedad de propósitos y situaciones especializadas. Asimismo, evalúa la personalización de entornos y uso de herramientas avanzadas para cumplir con necesidades específicas y mejorar la productividad.</w:t>
      </w:r>
    </w:p>
    <w:p w:rsidR="00000000" w:rsidDel="00000000" w:rsidP="00000000" w:rsidRDefault="00000000" w:rsidRPr="00000000" w14:paraId="000001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https://www.conocer.gob.mx/contenido/publicaciones_dof/2020/ECM0333.pdf</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005"/>
        <w:tblGridChange w:id="0">
          <w:tblGrid>
            <w:gridCol w:w="1800"/>
            <w:gridCol w:w="7005"/>
          </w:tblGrid>
        </w:tblGridChange>
      </w:tblGrid>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D">
            <w:pPr>
              <w:spacing w:after="100" w:lineRule="auto"/>
              <w:ind w:left="220" w:firstLine="0"/>
              <w:jc w:val="both"/>
              <w:rPr>
                <w:sz w:val="18"/>
                <w:szCs w:val="18"/>
              </w:rPr>
            </w:pPr>
            <w:r w:rsidDel="00000000" w:rsidR="00000000" w:rsidRPr="00000000">
              <w:rPr>
                <w:sz w:val="18"/>
                <w:szCs w:val="18"/>
                <w:rtl w:val="0"/>
              </w:rPr>
              <w:t xml:space="preserve">ECM0334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E">
            <w:pPr>
              <w:spacing w:after="100" w:lineRule="auto"/>
              <w:ind w:left="80" w:firstLine="0"/>
              <w:jc w:val="both"/>
              <w:rPr>
                <w:sz w:val="18"/>
                <w:szCs w:val="18"/>
              </w:rPr>
            </w:pPr>
            <w:r w:rsidDel="00000000" w:rsidR="00000000" w:rsidRPr="00000000">
              <w:rPr>
                <w:sz w:val="18"/>
                <w:szCs w:val="18"/>
                <w:rtl w:val="0"/>
              </w:rPr>
              <w:t xml:space="preserve">Web Authoring Using Adobe Dreamweaver.</w:t>
            </w:r>
          </w:p>
        </w:tc>
      </w:tr>
    </w:tbl>
    <w:p w:rsidR="00000000" w:rsidDel="00000000" w:rsidP="00000000" w:rsidRDefault="00000000" w:rsidRPr="00000000" w14:paraId="000001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estándar está diseñado para evaluar las principales competencias requeridas para la creación y organización de contenido web enfocado a un público o sector específico, identificar los elementos implicados en este tipo de industria, la terminología relativa al diseño web y el desarrollo con código para determinar el alcance de crear proyectos web. Asimismo, evalúa la comprensión de las tecnologías clave relacionadas con el diseño web como son seguridad, flujo de información, interactividad y semántica utilizada en el lenguaje HTML para publicar proyectos web adaptables y funcionales.</w:t>
      </w:r>
    </w:p>
    <w:p w:rsidR="00000000" w:rsidDel="00000000" w:rsidP="00000000" w:rsidRDefault="00000000" w:rsidRPr="00000000" w14:paraId="000001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https://www.conocer.gob.mx/contenido/publicaciones_dof/2020/ECM0334.pdf</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005"/>
        <w:tblGridChange w:id="0">
          <w:tblGrid>
            <w:gridCol w:w="1800"/>
            <w:gridCol w:w="7005"/>
          </w:tblGrid>
        </w:tblGridChange>
      </w:tblGrid>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4">
            <w:pPr>
              <w:spacing w:after="100" w:lineRule="auto"/>
              <w:ind w:left="220" w:firstLine="0"/>
              <w:jc w:val="both"/>
              <w:rPr>
                <w:sz w:val="18"/>
                <w:szCs w:val="18"/>
              </w:rPr>
            </w:pPr>
            <w:r w:rsidDel="00000000" w:rsidR="00000000" w:rsidRPr="00000000">
              <w:rPr>
                <w:sz w:val="18"/>
                <w:szCs w:val="18"/>
                <w:rtl w:val="0"/>
              </w:rPr>
              <w:t xml:space="preserve">ECM0335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5">
            <w:pPr>
              <w:spacing w:after="100" w:lineRule="auto"/>
              <w:ind w:left="80" w:firstLine="0"/>
              <w:jc w:val="both"/>
              <w:rPr>
                <w:sz w:val="18"/>
                <w:szCs w:val="18"/>
              </w:rPr>
            </w:pPr>
            <w:r w:rsidDel="00000000" w:rsidR="00000000" w:rsidRPr="00000000">
              <w:rPr>
                <w:sz w:val="18"/>
                <w:szCs w:val="18"/>
                <w:rtl w:val="0"/>
              </w:rPr>
              <w:t xml:space="preserve">Visual Design using Adobe Photoshop.</w:t>
            </w:r>
          </w:p>
        </w:tc>
      </w:tr>
    </w:tbl>
    <w:p w:rsidR="00000000" w:rsidDel="00000000" w:rsidP="00000000" w:rsidRDefault="00000000" w:rsidRPr="00000000" w14:paraId="000001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Descripción general del Estándar de Competencia:</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estándar está diseñado para evaluar las principales competencias en la utilización de las herramientas de Photoshop para afectar la apariencia visual de una imagen digital, así como las funciones necesarias para crear proyectos para la comunicación visual entorno a la industria del diseño web, impresión o video, permitiendo la creación de diferentes proyectos de impacto visual, desde la organización del proyecto hasta la publicación del mismo.</w:t>
      </w:r>
    </w:p>
    <w:p w:rsidR="00000000" w:rsidDel="00000000" w:rsidP="00000000" w:rsidRDefault="00000000" w:rsidRPr="00000000" w14:paraId="000001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liga para consultar el EC publicado es:</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https://www.conocer.gob.mx/contenido/publicaciones_dof/2020/ECM0335.pdf</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Lic. Christian Penélope Peña Guerrero, Directora de Asuntos Jurídicos del CONOCER, con fundamento en los artículos 8 fracción III y 30 fracciones XI y XIV del Estatuto Orgánico del CONOCER; doy constancia de que el presente Acuerdo </w:t>
      </w:r>
      <w:r w:rsidDel="00000000" w:rsidR="00000000" w:rsidRPr="00000000">
        <w:rPr>
          <w:b w:val="1"/>
          <w:color w:val="2f2f2f"/>
          <w:sz w:val="18"/>
          <w:szCs w:val="18"/>
          <w:rtl w:val="0"/>
        </w:rPr>
        <w:t xml:space="preserve">SO/III-20/12,S</w:t>
      </w:r>
      <w:r w:rsidDel="00000000" w:rsidR="00000000" w:rsidRPr="00000000">
        <w:rPr>
          <w:color w:val="2f2f2f"/>
          <w:sz w:val="18"/>
          <w:szCs w:val="18"/>
          <w:rtl w:val="0"/>
        </w:rPr>
        <w:t xml:space="preserve"> es fiel de lo desahogado y aprobado en la Tercera Sesión Ordinaria de 2020, del H. Comité Técnico del CONOCER. Se expide a los ocho días, del mes de septiembre del dos mil veinte, para los efectos a que haya lugar.</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Directora de Asuntos Jurídicos del CONOCER, </w:t>
      </w:r>
      <w:r w:rsidDel="00000000" w:rsidR="00000000" w:rsidRPr="00000000">
        <w:rPr>
          <w:b w:val="1"/>
          <w:color w:val="2f2f2f"/>
          <w:sz w:val="18"/>
          <w:szCs w:val="18"/>
          <w:rtl w:val="0"/>
        </w:rPr>
        <w:t xml:space="preserve">Christian Penélope Peña Guerrero</w:t>
      </w:r>
      <w:r w:rsidDel="00000000" w:rsidR="00000000" w:rsidRPr="00000000">
        <w:rPr>
          <w:color w:val="2f2f2f"/>
          <w:sz w:val="18"/>
          <w:szCs w:val="18"/>
          <w:rtl w:val="0"/>
        </w:rPr>
        <w:t xml:space="preserve">.- Rúbrica.</w:t>
      </w:r>
    </w:p>
    <w:p w:rsidR="00000000" w:rsidDel="00000000" w:rsidP="00000000" w:rsidRDefault="00000000" w:rsidRPr="00000000" w14:paraId="0000014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