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3D" w:rsidRDefault="00BA4F3D" w:rsidP="00BA4F3D">
      <w:pPr>
        <w:spacing w:before="120" w:after="0" w:line="240" w:lineRule="auto"/>
        <w:jc w:val="center"/>
        <w:rPr>
          <w:rFonts w:ascii="Verdana" w:eastAsia="Times New Roman" w:hAnsi="Verdana" w:cs="Times New Roman"/>
          <w:b/>
          <w:bCs/>
          <w:color w:val="1F497D" w:themeColor="text2"/>
          <w:sz w:val="20"/>
          <w:szCs w:val="20"/>
          <w:lang w:val="es-ES" w:eastAsia="es-MX"/>
        </w:rPr>
      </w:pPr>
      <w:r w:rsidRPr="00BA4F3D">
        <w:rPr>
          <w:rFonts w:ascii="Verdana" w:eastAsia="Times New Roman" w:hAnsi="Verdana" w:cs="Times New Roman"/>
          <w:b/>
          <w:bCs/>
          <w:color w:val="1F497D" w:themeColor="text2"/>
          <w:sz w:val="20"/>
          <w:szCs w:val="20"/>
          <w:lang w:val="es-ES" w:eastAsia="es-MX"/>
        </w:rPr>
        <w:t>O</w:t>
      </w:r>
      <w:r>
        <w:rPr>
          <w:rFonts w:ascii="Verdana" w:eastAsia="Times New Roman" w:hAnsi="Verdana" w:cs="Times New Roman"/>
          <w:b/>
          <w:bCs/>
          <w:color w:val="1F497D" w:themeColor="text2"/>
          <w:sz w:val="20"/>
          <w:szCs w:val="20"/>
          <w:lang w:val="es-ES" w:eastAsia="es-MX"/>
        </w:rPr>
        <w:t>ficio</w:t>
      </w:r>
      <w:r w:rsidRPr="00BA4F3D">
        <w:rPr>
          <w:rFonts w:ascii="Verdana" w:eastAsia="Times New Roman" w:hAnsi="Verdana" w:cs="Times New Roman"/>
          <w:b/>
          <w:bCs/>
          <w:color w:val="1F497D" w:themeColor="text2"/>
          <w:sz w:val="20"/>
          <w:szCs w:val="20"/>
          <w:lang w:val="es-ES" w:eastAsia="es-MX"/>
        </w:rPr>
        <w:t xml:space="preserve"> 500-05-2019-7323 mediante el cual se comunica el listado global definitivo en términos del artículo 69-B, párrafo cuarto del Código Fiscal de la Federación</w:t>
      </w:r>
    </w:p>
    <w:p w:rsidR="00BA4F3D" w:rsidRPr="00BA4F3D" w:rsidRDefault="00BA4F3D" w:rsidP="00BA4F3D">
      <w:pPr>
        <w:spacing w:before="120" w:after="0" w:line="240" w:lineRule="auto"/>
        <w:jc w:val="center"/>
        <w:rPr>
          <w:rFonts w:ascii="Verdana" w:eastAsia="Times New Roman" w:hAnsi="Verdana" w:cs="Times New Roman"/>
          <w:b/>
          <w:bCs/>
          <w:color w:val="1F497D" w:themeColor="text2"/>
          <w:sz w:val="20"/>
          <w:szCs w:val="20"/>
          <w:lang w:val="es-ES" w:eastAsia="es-MX"/>
        </w:rPr>
      </w:pPr>
      <w:r>
        <w:rPr>
          <w:rFonts w:ascii="Verdana" w:eastAsia="Times New Roman" w:hAnsi="Verdana" w:cs="Times New Roman"/>
          <w:b/>
          <w:bCs/>
          <w:color w:val="1F497D" w:themeColor="text2"/>
          <w:sz w:val="20"/>
          <w:szCs w:val="20"/>
          <w:lang w:val="es-ES" w:eastAsia="es-MX"/>
        </w:rPr>
        <w:t>(DOF 18 de abril de 2019)</w:t>
      </w:r>
    </w:p>
    <w:p w:rsidR="00BA4F3D" w:rsidRPr="00BA4F3D" w:rsidRDefault="00BA4F3D" w:rsidP="00BA4F3D">
      <w:pPr>
        <w:spacing w:before="120" w:after="0" w:line="240" w:lineRule="auto"/>
        <w:jc w:val="both"/>
        <w:rPr>
          <w:rFonts w:ascii="Verdana" w:eastAsia="Times New Roman" w:hAnsi="Verdana" w:cs="Times New Roman"/>
          <w:b/>
          <w:bCs/>
          <w:color w:val="000000"/>
          <w:sz w:val="20"/>
          <w:szCs w:val="20"/>
          <w:lang w:eastAsia="es-MX"/>
        </w:rPr>
      </w:pPr>
    </w:p>
    <w:p w:rsidR="00BA4F3D" w:rsidRPr="00BA4F3D" w:rsidRDefault="00BA4F3D" w:rsidP="00BA4F3D">
      <w:pPr>
        <w:spacing w:after="101" w:line="240" w:lineRule="auto"/>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BA4F3D" w:rsidRPr="00BA4F3D" w:rsidRDefault="00BA4F3D" w:rsidP="00BA4F3D">
      <w:pPr>
        <w:spacing w:after="101" w:line="271"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b/>
          <w:bCs/>
          <w:color w:val="000000"/>
          <w:sz w:val="20"/>
          <w:szCs w:val="20"/>
          <w:lang w:val="es-ES" w:eastAsia="es-MX"/>
        </w:rPr>
        <w:t>Oficio Número: 500-05-2019-7323</w:t>
      </w:r>
    </w:p>
    <w:p w:rsidR="00BA4F3D" w:rsidRPr="00BA4F3D" w:rsidRDefault="00BA4F3D" w:rsidP="00BA4F3D">
      <w:pPr>
        <w:spacing w:after="101" w:line="271" w:lineRule="atLeast"/>
        <w:ind w:left="1170" w:right="3802" w:hanging="882"/>
        <w:jc w:val="both"/>
        <w:rPr>
          <w:rFonts w:ascii="Verdana" w:eastAsia="Times New Roman" w:hAnsi="Verdana" w:cs="Arial"/>
          <w:color w:val="000000"/>
          <w:sz w:val="20"/>
          <w:szCs w:val="20"/>
          <w:lang w:eastAsia="es-MX"/>
        </w:rPr>
      </w:pPr>
      <w:r w:rsidRPr="00BA4F3D">
        <w:rPr>
          <w:rFonts w:ascii="Verdana" w:eastAsia="Times New Roman" w:hAnsi="Verdana" w:cs="Arial"/>
          <w:b/>
          <w:bCs/>
          <w:color w:val="000000"/>
          <w:sz w:val="20"/>
          <w:szCs w:val="20"/>
          <w:lang w:val="es-ES" w:eastAsia="es-MX"/>
        </w:rPr>
        <w:t>Asunto:     </w:t>
      </w:r>
      <w:r w:rsidRPr="00BA4F3D">
        <w:rPr>
          <w:rFonts w:ascii="Verdana" w:eastAsia="Times New Roman" w:hAnsi="Verdana" w:cs="Arial"/>
          <w:color w:val="000000"/>
          <w:sz w:val="20"/>
          <w:szCs w:val="20"/>
          <w:lang w:val="es-ES" w:eastAsia="es-MX"/>
        </w:rPr>
        <w:t>Se comunica listado global definitivo en términos del artículo 69-B, párrafo cuarto del Código Fiscal de la Federación.</w:t>
      </w:r>
    </w:p>
    <w:p w:rsidR="00BA4F3D" w:rsidRPr="00BA4F3D" w:rsidRDefault="00BA4F3D" w:rsidP="00BA4F3D">
      <w:pPr>
        <w:spacing w:after="101" w:line="260"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A4F3D">
        <w:rPr>
          <w:rFonts w:ascii="Verdana" w:eastAsia="Times New Roman" w:hAnsi="Verdana" w:cs="Arial"/>
          <w:i/>
          <w:iCs/>
          <w:color w:val="00FFFF"/>
          <w:sz w:val="20"/>
          <w:szCs w:val="20"/>
          <w:lang w:val="es-ES" w:eastAsia="es-MX"/>
        </w:rPr>
        <w:t> </w:t>
      </w:r>
      <w:r w:rsidRPr="00BA4F3D">
        <w:rPr>
          <w:rFonts w:ascii="Verdana" w:eastAsia="Times New Roman" w:hAnsi="Verdana" w:cs="Arial"/>
          <w:color w:val="000000"/>
          <w:sz w:val="20"/>
          <w:szCs w:val="20"/>
          <w:lang w:val="es-ES" w:eastAsia="es-MX"/>
        </w:rPr>
        <w:t>22, párrafos primero, fracción VIII, y</w:t>
      </w:r>
      <w:r w:rsidRPr="00BA4F3D">
        <w:rPr>
          <w:rFonts w:ascii="Verdana" w:eastAsia="Times New Roman" w:hAnsi="Verdana" w:cs="Arial"/>
          <w:i/>
          <w:iCs/>
          <w:color w:val="00FFFF"/>
          <w:sz w:val="20"/>
          <w:szCs w:val="20"/>
          <w:lang w:val="es-ES" w:eastAsia="es-MX"/>
        </w:rPr>
        <w:t> </w:t>
      </w:r>
      <w:r w:rsidRPr="00BA4F3D">
        <w:rPr>
          <w:rFonts w:ascii="Verdana" w:eastAsia="Times New Roman" w:hAnsi="Verdana" w:cs="Arial"/>
          <w:color w:val="000000"/>
          <w:sz w:val="20"/>
          <w:szCs w:val="20"/>
          <w:lang w:val="es-ES" w:eastAsia="es-MX"/>
        </w:rPr>
        <w:t>último, numeral 5, del Reglamento Interior del Servicio de Administración Tributaria publicado en el Diario Oficial de la Federación el</w:t>
      </w:r>
      <w:r w:rsidRPr="00BA4F3D">
        <w:rPr>
          <w:rFonts w:ascii="Verdana" w:eastAsia="Times New Roman" w:hAnsi="Verdana" w:cs="Arial"/>
          <w:b/>
          <w:bCs/>
          <w:color w:val="000000"/>
          <w:sz w:val="20"/>
          <w:szCs w:val="20"/>
          <w:lang w:val="es-ES" w:eastAsia="es-MX"/>
        </w:rPr>
        <w:t> </w:t>
      </w:r>
      <w:r w:rsidRPr="00BA4F3D">
        <w:rPr>
          <w:rFonts w:ascii="Verdana" w:eastAsia="Times New Roman" w:hAnsi="Verdana" w:cs="Arial"/>
          <w:color w:val="000000"/>
          <w:sz w:val="20"/>
          <w:szCs w:val="20"/>
          <w:lang w:val="es-ES"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BA4F3D" w:rsidRPr="00BA4F3D" w:rsidRDefault="00BA4F3D" w:rsidP="00BA4F3D">
      <w:pPr>
        <w:spacing w:after="101" w:line="260"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BA4F3D" w:rsidRPr="00BA4F3D" w:rsidRDefault="00BA4F3D" w:rsidP="00BA4F3D">
      <w:pPr>
        <w:spacing w:after="101" w:line="260"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BA4F3D" w:rsidRPr="00BA4F3D" w:rsidRDefault="00BA4F3D" w:rsidP="00BA4F3D">
      <w:pPr>
        <w:spacing w:after="101" w:line="260"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lastRenderedPageBreak/>
        <w:t>Ahora bien, los oficios individuales señalados en el párrafo que precede fueron notificados a cada contribuyente en los términos precisados en el Anexo 1, apartado A, del presente oficio, el cual es parte integrante del mismo.</w:t>
      </w:r>
    </w:p>
    <w:p w:rsidR="00BA4F3D" w:rsidRPr="00BA4F3D" w:rsidRDefault="00BA4F3D" w:rsidP="00BA4F3D">
      <w:pPr>
        <w:spacing w:after="101" w:line="260"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BA4F3D" w:rsidRPr="00BA4F3D" w:rsidRDefault="00BA4F3D" w:rsidP="00BA4F3D">
      <w:pPr>
        <w:spacing w:after="101" w:line="260"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BA4F3D" w:rsidRPr="00BA4F3D" w:rsidRDefault="00BA4F3D" w:rsidP="00BA4F3D">
      <w:pPr>
        <w:spacing w:after="101" w:line="297"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BA4F3D" w:rsidRPr="00BA4F3D" w:rsidRDefault="00BA4F3D" w:rsidP="00BA4F3D">
      <w:pPr>
        <w:spacing w:after="101" w:line="297"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BA4F3D" w:rsidRPr="00BA4F3D" w:rsidRDefault="00BA4F3D" w:rsidP="00BA4F3D">
      <w:pPr>
        <w:spacing w:after="101" w:line="297"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w:t>
      </w:r>
      <w:r w:rsidRPr="00BA4F3D">
        <w:rPr>
          <w:rFonts w:ascii="Verdana" w:eastAsia="Times New Roman" w:hAnsi="Verdana" w:cs="Arial"/>
          <w:color w:val="000000"/>
          <w:sz w:val="20"/>
          <w:szCs w:val="20"/>
          <w:lang w:val="es-ES" w:eastAsia="es-MX"/>
        </w:rPr>
        <w:lastRenderedPageBreak/>
        <w:t>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hyperlink r:id="rId4" w:history="1">
        <w:r w:rsidRPr="00BA4F3D">
          <w:rPr>
            <w:rFonts w:ascii="Verdana" w:eastAsia="Times New Roman" w:hAnsi="Verdana" w:cs="Arial"/>
            <w:sz w:val="20"/>
            <w:szCs w:val="20"/>
            <w:lang w:val="es-ES" w:eastAsia="es-MX"/>
          </w:rPr>
          <w:t>www.sat.gob.mx</w:t>
        </w:r>
      </w:hyperlink>
      <w:r w:rsidRPr="00BA4F3D">
        <w:rPr>
          <w:rFonts w:ascii="Verdana" w:eastAsia="Times New Roman" w:hAnsi="Verdana" w:cs="Arial"/>
          <w:color w:val="000000"/>
          <w:sz w:val="20"/>
          <w:szCs w:val="20"/>
          <w:lang w:val="es-ES"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BA4F3D" w:rsidRPr="00BA4F3D" w:rsidRDefault="00BA4F3D" w:rsidP="00BA4F3D">
      <w:pPr>
        <w:spacing w:after="101" w:line="297"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it-CH" w:eastAsia="es-MX"/>
        </w:rPr>
        <w:t>Atentamente</w:t>
      </w:r>
    </w:p>
    <w:p w:rsidR="00BA4F3D" w:rsidRPr="00BA4F3D" w:rsidRDefault="00BA4F3D" w:rsidP="00BA4F3D">
      <w:pPr>
        <w:spacing w:after="101" w:line="297"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Ciudad de México, a </w:t>
      </w:r>
      <w:bookmarkStart w:id="0" w:name="fechaO_233389"/>
      <w:r w:rsidRPr="00BA4F3D">
        <w:rPr>
          <w:rFonts w:ascii="Verdana" w:eastAsia="Times New Roman" w:hAnsi="Verdana" w:cs="Arial"/>
          <w:color w:val="000000"/>
          <w:sz w:val="20"/>
          <w:szCs w:val="20"/>
          <w:lang w:val="es-ES" w:eastAsia="es-MX"/>
        </w:rPr>
        <w:t>15 de marzo de 2019</w:t>
      </w:r>
      <w:bookmarkEnd w:id="0"/>
      <w:r w:rsidRPr="00BA4F3D">
        <w:rPr>
          <w:rFonts w:ascii="Verdana" w:eastAsia="Times New Roman" w:hAnsi="Verdana" w:cs="Arial"/>
          <w:color w:val="000000"/>
          <w:sz w:val="20"/>
          <w:szCs w:val="20"/>
          <w:lang w:val="es-ES" w:eastAsia="es-MX"/>
        </w:rPr>
        <w:t>.-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BA4F3D">
        <w:rPr>
          <w:rFonts w:ascii="Verdana" w:eastAsia="Times New Roman" w:hAnsi="Verdana" w:cs="Arial"/>
          <w:b/>
          <w:bCs/>
          <w:color w:val="000000"/>
          <w:sz w:val="20"/>
          <w:szCs w:val="20"/>
          <w:lang w:val="es-ES" w:eastAsia="es-MX"/>
        </w:rPr>
        <w:t xml:space="preserve">Cintia </w:t>
      </w:r>
      <w:proofErr w:type="spellStart"/>
      <w:r w:rsidRPr="00BA4F3D">
        <w:rPr>
          <w:rFonts w:ascii="Verdana" w:eastAsia="Times New Roman" w:hAnsi="Verdana" w:cs="Arial"/>
          <w:b/>
          <w:bCs/>
          <w:color w:val="000000"/>
          <w:sz w:val="20"/>
          <w:szCs w:val="20"/>
          <w:lang w:val="es-ES" w:eastAsia="es-MX"/>
        </w:rPr>
        <w:t>Aidee</w:t>
      </w:r>
      <w:proofErr w:type="spellEnd"/>
      <w:r w:rsidRPr="00BA4F3D">
        <w:rPr>
          <w:rFonts w:ascii="Verdana" w:eastAsia="Times New Roman" w:hAnsi="Verdana" w:cs="Arial"/>
          <w:b/>
          <w:bCs/>
          <w:color w:val="000000"/>
          <w:sz w:val="20"/>
          <w:szCs w:val="20"/>
          <w:lang w:val="es-ES" w:eastAsia="es-MX"/>
        </w:rPr>
        <w:t xml:space="preserve"> </w:t>
      </w:r>
      <w:proofErr w:type="spellStart"/>
      <w:r w:rsidRPr="00BA4F3D">
        <w:rPr>
          <w:rFonts w:ascii="Verdana" w:eastAsia="Times New Roman" w:hAnsi="Verdana" w:cs="Arial"/>
          <w:b/>
          <w:bCs/>
          <w:color w:val="000000"/>
          <w:sz w:val="20"/>
          <w:szCs w:val="20"/>
          <w:lang w:val="es-ES" w:eastAsia="es-MX"/>
        </w:rPr>
        <w:t>Jauregui</w:t>
      </w:r>
      <w:proofErr w:type="spellEnd"/>
      <w:r w:rsidRPr="00BA4F3D">
        <w:rPr>
          <w:rFonts w:ascii="Verdana" w:eastAsia="Times New Roman" w:hAnsi="Verdana" w:cs="Arial"/>
          <w:b/>
          <w:bCs/>
          <w:color w:val="000000"/>
          <w:sz w:val="20"/>
          <w:szCs w:val="20"/>
          <w:lang w:val="es-ES" w:eastAsia="es-MX"/>
        </w:rPr>
        <w:t xml:space="preserve"> Serratos</w:t>
      </w:r>
      <w:r w:rsidRPr="00BA4F3D">
        <w:rPr>
          <w:rFonts w:ascii="Verdana" w:eastAsia="Times New Roman" w:hAnsi="Verdana" w:cs="Arial"/>
          <w:color w:val="000000"/>
          <w:sz w:val="20"/>
          <w:szCs w:val="20"/>
          <w:lang w:val="es-ES" w:eastAsia="es-MX"/>
        </w:rPr>
        <w:t>.- Rúbrica.</w:t>
      </w:r>
    </w:p>
    <w:p w:rsidR="00BA4F3D" w:rsidRPr="00BA4F3D" w:rsidRDefault="00BA4F3D" w:rsidP="00BA4F3D">
      <w:pPr>
        <w:spacing w:after="101" w:line="240"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b/>
          <w:bCs/>
          <w:color w:val="000000"/>
          <w:sz w:val="20"/>
          <w:szCs w:val="20"/>
          <w:lang w:val="es-ES" w:eastAsia="es-MX"/>
        </w:rPr>
        <w:t>Anexo 1</w:t>
      </w:r>
      <w:r w:rsidRPr="00BA4F3D">
        <w:rPr>
          <w:rFonts w:ascii="Verdana" w:eastAsia="Times New Roman" w:hAnsi="Verdana" w:cs="Arial"/>
          <w:color w:val="000000"/>
          <w:sz w:val="20"/>
          <w:szCs w:val="20"/>
          <w:lang w:val="es-ES" w:eastAsia="es-MX"/>
        </w:rPr>
        <w:t> del oficio número </w:t>
      </w:r>
      <w:r w:rsidRPr="00BA4F3D">
        <w:rPr>
          <w:rFonts w:ascii="Verdana" w:eastAsia="Times New Roman" w:hAnsi="Verdana" w:cs="Arial"/>
          <w:b/>
          <w:bCs/>
          <w:color w:val="000000"/>
          <w:sz w:val="20"/>
          <w:szCs w:val="20"/>
          <w:lang w:val="es-ES" w:eastAsia="es-MX"/>
        </w:rPr>
        <w:t>500-05-2019-7323 </w:t>
      </w:r>
      <w:r w:rsidRPr="00BA4F3D">
        <w:rPr>
          <w:rFonts w:ascii="Verdana" w:eastAsia="Times New Roman" w:hAnsi="Verdana" w:cs="Arial"/>
          <w:color w:val="000000"/>
          <w:sz w:val="20"/>
          <w:szCs w:val="20"/>
          <w:lang w:val="es-ES" w:eastAsia="es-MX"/>
        </w:rPr>
        <w:t>de fecha 15 de marzo de 2019 correspondiente a contribuyentes que, </w:t>
      </w:r>
      <w:r w:rsidRPr="00BA4F3D">
        <w:rPr>
          <w:rFonts w:ascii="Verdana" w:eastAsia="Times New Roman" w:hAnsi="Verdana" w:cs="Arial"/>
          <w:b/>
          <w:bCs/>
          <w:color w:val="000000"/>
          <w:sz w:val="20"/>
          <w:szCs w:val="20"/>
          <w:lang w:val="es-ES" w:eastAsia="es-MX"/>
        </w:rPr>
        <w:t>NO</w:t>
      </w:r>
      <w:r w:rsidRPr="00BA4F3D">
        <w:rPr>
          <w:rFonts w:ascii="Verdana" w:eastAsia="Times New Roman" w:hAnsi="Verdana" w:cs="Arial"/>
          <w:color w:val="000000"/>
          <w:sz w:val="20"/>
          <w:szCs w:val="20"/>
          <w:lang w:val="es-ES" w:eastAsia="es-MX"/>
        </w:rPr>
        <w:t> aportaron argumentos y/o pruebas, para desvirtuar el motivo por el que se les notificó el oficio de presunción, motivo por el cual se actualizó DEFINITIVAMENTE</w:t>
      </w:r>
      <w:r w:rsidRPr="00BA4F3D">
        <w:rPr>
          <w:rFonts w:ascii="Verdana" w:eastAsia="Times New Roman" w:hAnsi="Verdana" w:cs="Arial"/>
          <w:b/>
          <w:bCs/>
          <w:color w:val="000000"/>
          <w:sz w:val="20"/>
          <w:szCs w:val="20"/>
          <w:lang w:val="es-ES" w:eastAsia="es-MX"/>
        </w:rPr>
        <w:t> </w:t>
      </w:r>
      <w:r w:rsidRPr="00BA4F3D">
        <w:rPr>
          <w:rFonts w:ascii="Verdana" w:eastAsia="Times New Roman" w:hAnsi="Verdana" w:cs="Arial"/>
          <w:color w:val="000000"/>
          <w:sz w:val="20"/>
          <w:szCs w:val="20"/>
          <w:lang w:val="es-ES" w:eastAsia="es-MX"/>
        </w:rPr>
        <w:t>la situación a que se refiere el primer párrafo del artículo 69-B del Código Fiscal de la Federación.</w:t>
      </w:r>
    </w:p>
    <w:p w:rsidR="00BA4F3D" w:rsidRPr="00BA4F3D" w:rsidRDefault="00BA4F3D" w:rsidP="00BA4F3D">
      <w:pPr>
        <w:spacing w:after="101" w:line="240"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b/>
          <w:bCs/>
          <w:color w:val="000000"/>
          <w:sz w:val="20"/>
          <w:szCs w:val="20"/>
          <w:lang w:val="es-ES" w:eastAsia="es-MX"/>
        </w:rPr>
        <w:t>Apartado A.- Notificación del OFICIO DE PRESUNCIÓN conforme a los párrafos primero y segundo del artículo 69-B del Código Fiscal de la Federación, en relación con el artículo 69 de su Reglamento.</w:t>
      </w:r>
    </w:p>
    <w:tbl>
      <w:tblPr>
        <w:tblW w:w="8760" w:type="dxa"/>
        <w:jc w:val="center"/>
        <w:tblInd w:w="144" w:type="dxa"/>
        <w:tblCellMar>
          <w:left w:w="0" w:type="dxa"/>
          <w:right w:w="0" w:type="dxa"/>
        </w:tblCellMar>
        <w:tblLook w:val="04A0"/>
      </w:tblPr>
      <w:tblGrid>
        <w:gridCol w:w="269"/>
        <w:gridCol w:w="1004"/>
        <w:gridCol w:w="1207"/>
        <w:gridCol w:w="759"/>
        <w:gridCol w:w="941"/>
        <w:gridCol w:w="693"/>
        <w:gridCol w:w="793"/>
        <w:gridCol w:w="793"/>
        <w:gridCol w:w="793"/>
        <w:gridCol w:w="793"/>
        <w:gridCol w:w="793"/>
      </w:tblGrid>
      <w:tr w:rsidR="00BA4F3D" w:rsidRPr="00BA4F3D" w:rsidTr="00BA4F3D">
        <w:trPr>
          <w:trHeight w:val="144"/>
          <w:jc w:val="center"/>
        </w:trPr>
        <w:tc>
          <w:tcPr>
            <w:tcW w:w="347" w:type="dxa"/>
            <w:vMerge w:val="restart"/>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val="es-ES" w:eastAsia="es-MX"/>
              </w:rPr>
              <w:t> </w:t>
            </w:r>
          </w:p>
        </w:tc>
        <w:tc>
          <w:tcPr>
            <w:tcW w:w="1010"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R.F.C.</w:t>
            </w:r>
          </w:p>
        </w:tc>
        <w:tc>
          <w:tcPr>
            <w:tcW w:w="1185"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Nombre del Contribuyente</w:t>
            </w:r>
          </w:p>
        </w:tc>
        <w:tc>
          <w:tcPr>
            <w:tcW w:w="882"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 xml:space="preserve">Número y fecha de oficio individual </w:t>
            </w:r>
            <w:r w:rsidRPr="00BA4F3D">
              <w:rPr>
                <w:rFonts w:ascii="Verdana" w:eastAsia="Times New Roman" w:hAnsi="Verdana" w:cs="Arial"/>
                <w:b/>
                <w:bCs/>
                <w:sz w:val="20"/>
                <w:szCs w:val="20"/>
                <w:lang w:eastAsia="es-MX"/>
              </w:rPr>
              <w:lastRenderedPageBreak/>
              <w:t>de presunción</w:t>
            </w:r>
          </w:p>
        </w:tc>
        <w:tc>
          <w:tcPr>
            <w:tcW w:w="909"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val="es-ES" w:eastAsia="es-MX"/>
              </w:rPr>
              <w:lastRenderedPageBreak/>
              <w:t xml:space="preserve">Autoridad emisora del oficio individual de </w:t>
            </w:r>
            <w:r w:rsidRPr="00BA4F3D">
              <w:rPr>
                <w:rFonts w:ascii="Verdana" w:eastAsia="Times New Roman" w:hAnsi="Verdana" w:cs="Arial"/>
                <w:b/>
                <w:bCs/>
                <w:sz w:val="20"/>
                <w:szCs w:val="20"/>
                <w:lang w:val="es-ES" w:eastAsia="es-MX"/>
              </w:rPr>
              <w:lastRenderedPageBreak/>
              <w:t>presunción</w:t>
            </w:r>
          </w:p>
        </w:tc>
        <w:tc>
          <w:tcPr>
            <w:tcW w:w="4430" w:type="dxa"/>
            <w:gridSpan w:val="6"/>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lastRenderedPageBreak/>
              <w:t>Medio de notificación al contribuyente</w:t>
            </w:r>
          </w:p>
        </w:tc>
      </w:tr>
      <w:tr w:rsidR="00BA4F3D" w:rsidRPr="00BA4F3D" w:rsidTr="00BA4F3D">
        <w:trPr>
          <w:trHeight w:val="1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1358" w:type="dxa"/>
            <w:gridSpan w:val="2"/>
            <w:tcBorders>
              <w:top w:val="nil"/>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Estrados de la autoridad</w:t>
            </w:r>
          </w:p>
        </w:tc>
        <w:tc>
          <w:tcPr>
            <w:tcW w:w="1478" w:type="dxa"/>
            <w:gridSpan w:val="2"/>
            <w:tcBorders>
              <w:top w:val="nil"/>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Notificación personal</w:t>
            </w:r>
          </w:p>
        </w:tc>
        <w:tc>
          <w:tcPr>
            <w:tcW w:w="1594" w:type="dxa"/>
            <w:gridSpan w:val="2"/>
            <w:tcBorders>
              <w:top w:val="nil"/>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Notificación por Buzón Tributario</w:t>
            </w:r>
          </w:p>
        </w:tc>
      </w:tr>
      <w:tr w:rsidR="00BA4F3D" w:rsidRPr="00BA4F3D" w:rsidTr="00BA4F3D">
        <w:trPr>
          <w:trHeight w:val="1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629"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 xml:space="preserve">Fecha de </w:t>
            </w:r>
            <w:r w:rsidRPr="00BA4F3D">
              <w:rPr>
                <w:rFonts w:ascii="Verdana" w:eastAsia="Times New Roman" w:hAnsi="Verdana" w:cs="Arial"/>
                <w:b/>
                <w:bCs/>
                <w:sz w:val="20"/>
                <w:szCs w:val="20"/>
                <w:lang w:eastAsia="es-MX"/>
              </w:rPr>
              <w:lastRenderedPageBreak/>
              <w:t>fijación en los estrados de la Autoridad Fiscal</w:t>
            </w:r>
          </w:p>
        </w:tc>
        <w:tc>
          <w:tcPr>
            <w:tcW w:w="729"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lastRenderedPageBreak/>
              <w:t xml:space="preserve">Fecha en </w:t>
            </w:r>
            <w:r w:rsidRPr="00BA4F3D">
              <w:rPr>
                <w:rFonts w:ascii="Verdana" w:eastAsia="Times New Roman" w:hAnsi="Verdana" w:cs="Arial"/>
                <w:b/>
                <w:bCs/>
                <w:sz w:val="20"/>
                <w:szCs w:val="20"/>
                <w:lang w:eastAsia="es-MX"/>
              </w:rPr>
              <w:lastRenderedPageBreak/>
              <w:t>que surtió efectos la notificación</w:t>
            </w:r>
          </w:p>
        </w:tc>
        <w:tc>
          <w:tcPr>
            <w:tcW w:w="739"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lastRenderedPageBreak/>
              <w:t xml:space="preserve">Fecha de </w:t>
            </w:r>
            <w:r w:rsidRPr="00BA4F3D">
              <w:rPr>
                <w:rFonts w:ascii="Verdana" w:eastAsia="Times New Roman" w:hAnsi="Verdana" w:cs="Arial"/>
                <w:b/>
                <w:bCs/>
                <w:sz w:val="20"/>
                <w:szCs w:val="20"/>
                <w:lang w:eastAsia="es-MX"/>
              </w:rPr>
              <w:lastRenderedPageBreak/>
              <w:t>notificación</w:t>
            </w:r>
          </w:p>
        </w:tc>
        <w:tc>
          <w:tcPr>
            <w:tcW w:w="739"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lastRenderedPageBreak/>
              <w:t xml:space="preserve">Fecha en </w:t>
            </w:r>
            <w:r w:rsidRPr="00BA4F3D">
              <w:rPr>
                <w:rFonts w:ascii="Verdana" w:eastAsia="Times New Roman" w:hAnsi="Verdana" w:cs="Arial"/>
                <w:b/>
                <w:bCs/>
                <w:sz w:val="20"/>
                <w:szCs w:val="20"/>
                <w:lang w:eastAsia="es-MX"/>
              </w:rPr>
              <w:lastRenderedPageBreak/>
              <w:t>que surtió efectos la notificación</w:t>
            </w:r>
          </w:p>
        </w:tc>
        <w:tc>
          <w:tcPr>
            <w:tcW w:w="73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lastRenderedPageBreak/>
              <w:t xml:space="preserve">Fecha de </w:t>
            </w:r>
            <w:r w:rsidRPr="00BA4F3D">
              <w:rPr>
                <w:rFonts w:ascii="Verdana" w:eastAsia="Times New Roman" w:hAnsi="Verdana" w:cs="Arial"/>
                <w:b/>
                <w:bCs/>
                <w:sz w:val="20"/>
                <w:szCs w:val="20"/>
                <w:lang w:eastAsia="es-MX"/>
              </w:rPr>
              <w:lastRenderedPageBreak/>
              <w:t>notificación</w:t>
            </w:r>
          </w:p>
        </w:tc>
        <w:tc>
          <w:tcPr>
            <w:tcW w:w="859"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0" w:after="5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lastRenderedPageBreak/>
              <w:t xml:space="preserve">Fecha en </w:t>
            </w:r>
            <w:r w:rsidRPr="00BA4F3D">
              <w:rPr>
                <w:rFonts w:ascii="Verdana" w:eastAsia="Times New Roman" w:hAnsi="Verdana" w:cs="Arial"/>
                <w:b/>
                <w:bCs/>
                <w:sz w:val="20"/>
                <w:szCs w:val="20"/>
                <w:lang w:eastAsia="es-MX"/>
              </w:rPr>
              <w:lastRenderedPageBreak/>
              <w:t>que surtió efectos la notificación</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1</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AOM131213UH6</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AV OPERADORA DE MULTISERVICIOS DEL GOLFO, S.A. DE R.L.</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500-14-00-03-00-2018-9587 de fecha 18 de octubre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Campeche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24 de octubre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25 de octubre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BLO1701254J9</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BLOKSER, S.A.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500-51-00-05-03-2018-21620 de fecha 10 de septiembre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Sinaloa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17 de septiembre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18 de septiembre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CAC140829MT6</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CONTFIS ABOGADOS Y CONTADORES, S.A.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xml:space="preserve">500-30-00-04-02-2018-06073 de fecha 23 de agosto de </w:t>
            </w:r>
            <w:r w:rsidRPr="00BA4F3D">
              <w:rPr>
                <w:rFonts w:ascii="Verdana" w:eastAsia="Times New Roman" w:hAnsi="Verdana" w:cs="Arial"/>
                <w:color w:val="000000"/>
                <w:sz w:val="20"/>
                <w:szCs w:val="20"/>
                <w:lang w:val="es-ES" w:eastAsia="es-MX"/>
              </w:rPr>
              <w:lastRenderedPageBreak/>
              <w:t>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Administración Desconcentrada de Auditoría Fiscal de Jalisco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28 de agosto de 2018</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29 de agosto de 2018</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4</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COP0906242A0</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COPROTECASE, S. DE R.L.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500-69-00-01-02-2018-19055 de fecha 5 de septiembre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Yucatán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11 de septiembre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12 de septiembre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COV120314DD4</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COMERCIALIZADORA DE OCCIDENTE VIZCAYA, S.A.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500-30-00-05-01-2018-04663 de fecha 3 de septiembre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Jalisco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11 de septiembre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12 de septiembre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6</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CSE1309118G7</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CORPORACION DE SERVICIOS ESPECIALIZADOS RSA, S.A.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500-30-2018-05845 de fecha 27 de agosto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Jalisco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13 de septiembre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14 de septiembre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7</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DOFA910911NX0</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DOMINGUEZ FLORES ARMANDO ISRAEL</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xml:space="preserve">500-45-00-02-03-2018-19055 de fecha 1 de octubre de </w:t>
            </w:r>
            <w:r w:rsidRPr="00BA4F3D">
              <w:rPr>
                <w:rFonts w:ascii="Verdana" w:eastAsia="Times New Roman" w:hAnsi="Verdana" w:cs="Arial"/>
                <w:color w:val="000000"/>
                <w:sz w:val="20"/>
                <w:szCs w:val="20"/>
                <w:lang w:val="es-ES" w:eastAsia="es-MX"/>
              </w:rPr>
              <w:lastRenderedPageBreak/>
              <w:t>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Administración Desconcentrada de Auditoría Fiscal de Puebla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 de octubre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8 de octubre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8</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DPT151208T14</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DESTINO PERFECTO TRAVEL, S.A.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500-05-2018-27050 de fecha 17 de septiembre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Central de Fiscalización Estratégica</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24 de septiembre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25 de septiembre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9</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FCO12051691A</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FERRO COLECTA, S.A.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500-41-00-07-01-2018-13140 de fecha 24 de agosto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Nuevo León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31 de agosto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 de septiembre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10</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GAU120823RX2</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GAUDENA, S.A.P.I.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500-05-2018-22839 de fecha 27 de agosto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Central de Fiscalización Estratégica</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 de septiembre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4 de septiembre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11</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MEGA760815166</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MENDOZA GUERRERO ALEJANDRO</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500-05-2018-27052 de fecha 18 de septiembre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Central de Fiscalización Estratégica</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27 de septiembre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28 de septiembre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12</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PCC140702N80</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xml:space="preserve">PROFESIONALES EN CONSTRUCCION </w:t>
            </w:r>
            <w:r w:rsidRPr="00BA4F3D">
              <w:rPr>
                <w:rFonts w:ascii="Verdana" w:eastAsia="Times New Roman" w:hAnsi="Verdana" w:cs="Arial"/>
                <w:color w:val="000000"/>
                <w:sz w:val="20"/>
                <w:szCs w:val="20"/>
                <w:lang w:val="es-ES" w:eastAsia="es-MX"/>
              </w:rPr>
              <w:lastRenderedPageBreak/>
              <w:t>CONSULTORIA Y AGROCOMERCIO, S. DE R.L.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500-69-00-05-</w:t>
            </w:r>
            <w:r w:rsidRPr="00BA4F3D">
              <w:rPr>
                <w:rFonts w:ascii="Verdana" w:eastAsia="Times New Roman" w:hAnsi="Verdana" w:cs="Arial"/>
                <w:color w:val="000000"/>
                <w:sz w:val="20"/>
                <w:szCs w:val="20"/>
                <w:lang w:val="es-ES" w:eastAsia="es-MX"/>
              </w:rPr>
              <w:lastRenderedPageBreak/>
              <w:t>02-2018-19785 de fecha 13 de septiembre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Administración Desconcentrad</w:t>
            </w:r>
            <w:r w:rsidRPr="00BA4F3D">
              <w:rPr>
                <w:rFonts w:ascii="Verdana" w:eastAsia="Times New Roman" w:hAnsi="Verdana" w:cs="Arial"/>
                <w:color w:val="000000"/>
                <w:sz w:val="20"/>
                <w:szCs w:val="20"/>
                <w:lang w:val="es-ES" w:eastAsia="es-MX"/>
              </w:rPr>
              <w:lastRenderedPageBreak/>
              <w:t>a de Auditoría Fiscal de Yucatán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xml:space="preserve">17 de septiembre de </w:t>
            </w:r>
            <w:r w:rsidRPr="00BA4F3D">
              <w:rPr>
                <w:rFonts w:ascii="Verdana" w:eastAsia="Times New Roman" w:hAnsi="Verdana" w:cs="Arial"/>
                <w:color w:val="000000"/>
                <w:sz w:val="20"/>
                <w:szCs w:val="20"/>
                <w:lang w:val="es-ES" w:eastAsia="es-MX"/>
              </w:rPr>
              <w:lastRenderedPageBreak/>
              <w:t>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 xml:space="preserve">18 de septiembre de </w:t>
            </w:r>
            <w:r w:rsidRPr="00BA4F3D">
              <w:rPr>
                <w:rFonts w:ascii="Verdana" w:eastAsia="Times New Roman" w:hAnsi="Verdana" w:cs="Arial"/>
                <w:color w:val="000000"/>
                <w:sz w:val="20"/>
                <w:szCs w:val="20"/>
                <w:lang w:val="es-ES" w:eastAsia="es-MX"/>
              </w:rPr>
              <w:lastRenderedPageBreak/>
              <w:t>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13</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PSP1408228JA</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PROYECTOS Y SERVICIOS PACAL, S.A. DE C.V.</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500-60-00-04-02-2018-04588 de fecha 6 de septiembre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Tamaulipas "3"</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13 de septiembre de 2018</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14 de septiembre de 2018</w:t>
            </w:r>
          </w:p>
        </w:tc>
      </w:tr>
      <w:tr w:rsidR="00BA4F3D" w:rsidRPr="00BA4F3D" w:rsidTr="00BA4F3D">
        <w:trPr>
          <w:trHeight w:val="144"/>
          <w:jc w:val="center"/>
        </w:trPr>
        <w:tc>
          <w:tcPr>
            <w:tcW w:w="34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14</w:t>
            </w:r>
          </w:p>
        </w:tc>
        <w:tc>
          <w:tcPr>
            <w:tcW w:w="101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SAS150205MD6</w:t>
            </w:r>
          </w:p>
        </w:tc>
        <w:tc>
          <w:tcPr>
            <w:tcW w:w="118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SULVENT ASESORES, S.C.</w:t>
            </w:r>
          </w:p>
        </w:tc>
        <w:tc>
          <w:tcPr>
            <w:tcW w:w="882"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500-30-00-07-02-2018-04874 de fecha 27 de agosto de 2018</w:t>
            </w:r>
          </w:p>
        </w:tc>
        <w:tc>
          <w:tcPr>
            <w:tcW w:w="9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Jalisco "1"</w:t>
            </w:r>
          </w:p>
        </w:tc>
        <w:tc>
          <w:tcPr>
            <w:tcW w:w="6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 de septiembre de 2018</w:t>
            </w:r>
          </w:p>
        </w:tc>
        <w:tc>
          <w:tcPr>
            <w:tcW w:w="73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6 de septiembre de 2018</w:t>
            </w:r>
          </w:p>
        </w:tc>
        <w:tc>
          <w:tcPr>
            <w:tcW w:w="73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8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0" w:after="5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r>
    </w:tbl>
    <w:p w:rsidR="00BA4F3D" w:rsidRPr="00BA4F3D" w:rsidRDefault="00BA4F3D" w:rsidP="00BA4F3D">
      <w:pPr>
        <w:spacing w:after="101" w:line="216"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b/>
          <w:bCs/>
          <w:color w:val="000000"/>
          <w:sz w:val="20"/>
          <w:szCs w:val="20"/>
          <w:lang w:val="es-ES" w:eastAsia="es-MX"/>
        </w:rPr>
        <w:t>Apartado B.- Notificación en la página de Internet del Servicio de Administración Tributaria</w:t>
      </w:r>
    </w:p>
    <w:tbl>
      <w:tblPr>
        <w:tblW w:w="8715" w:type="dxa"/>
        <w:tblInd w:w="144" w:type="dxa"/>
        <w:tblCellMar>
          <w:left w:w="0" w:type="dxa"/>
          <w:right w:w="0" w:type="dxa"/>
        </w:tblCellMar>
        <w:tblLook w:val="04A0"/>
      </w:tblPr>
      <w:tblGrid>
        <w:gridCol w:w="460"/>
        <w:gridCol w:w="1502"/>
        <w:gridCol w:w="1822"/>
        <w:gridCol w:w="1114"/>
        <w:gridCol w:w="1306"/>
        <w:gridCol w:w="1467"/>
        <w:gridCol w:w="1167"/>
      </w:tblGrid>
      <w:tr w:rsidR="00BA4F3D" w:rsidRPr="00BA4F3D" w:rsidTr="00BA4F3D">
        <w:trPr>
          <w:trHeight w:val="144"/>
        </w:trPr>
        <w:tc>
          <w:tcPr>
            <w:tcW w:w="549"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BA4F3D" w:rsidRPr="00BA4F3D" w:rsidRDefault="00BA4F3D" w:rsidP="00BA4F3D">
            <w:pPr>
              <w:spacing w:before="60" w:after="6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val="es-ES" w:eastAsia="es-MX"/>
              </w:rPr>
              <w:t> </w:t>
            </w:r>
          </w:p>
        </w:tc>
        <w:tc>
          <w:tcPr>
            <w:tcW w:w="1394"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60" w:after="6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R.F.C.</w:t>
            </w:r>
          </w:p>
        </w:tc>
        <w:tc>
          <w:tcPr>
            <w:tcW w:w="2138"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60" w:after="6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Nombre del Contribuyente</w:t>
            </w:r>
          </w:p>
        </w:tc>
        <w:tc>
          <w:tcPr>
            <w:tcW w:w="1305"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60" w:after="6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Número y fecha de oficio global de presunción</w:t>
            </w:r>
          </w:p>
        </w:tc>
        <w:tc>
          <w:tcPr>
            <w:tcW w:w="135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60" w:after="6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Autoridad emisora del oficio global de presunción</w:t>
            </w:r>
          </w:p>
        </w:tc>
        <w:tc>
          <w:tcPr>
            <w:tcW w:w="120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60" w:after="6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Fecha de notificación en la página de internet del Servicio de Administración Tributaria</w:t>
            </w:r>
          </w:p>
        </w:tc>
        <w:tc>
          <w:tcPr>
            <w:tcW w:w="1105"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60" w:after="60"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Fecha en que surtió efectos la notificación</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AOM131213UH6</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xml:space="preserve">AV OPERADORA DE </w:t>
            </w:r>
            <w:r w:rsidRPr="00BA4F3D">
              <w:rPr>
                <w:rFonts w:ascii="Verdana" w:eastAsia="Times New Roman" w:hAnsi="Verdana" w:cs="Arial"/>
                <w:color w:val="000000"/>
                <w:sz w:val="20"/>
                <w:szCs w:val="20"/>
                <w:lang w:val="es-ES" w:eastAsia="es-MX"/>
              </w:rPr>
              <w:lastRenderedPageBreak/>
              <w:t>MULTISERVICIOS DEL GOLFO, S.A. DE R.L.</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500-05-2018-</w:t>
            </w:r>
            <w:r w:rsidRPr="00BA4F3D">
              <w:rPr>
                <w:rFonts w:ascii="Verdana" w:eastAsia="Times New Roman" w:hAnsi="Verdana" w:cs="Arial"/>
                <w:sz w:val="20"/>
                <w:szCs w:val="20"/>
                <w:lang w:val="es-ES" w:eastAsia="es-MX"/>
              </w:rPr>
              <w:lastRenderedPageBreak/>
              <w:t>29883 de fecha 6 de noviembre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 xml:space="preserve">Administración </w:t>
            </w:r>
            <w:r w:rsidRPr="00BA4F3D">
              <w:rPr>
                <w:rFonts w:ascii="Verdana" w:eastAsia="Times New Roman" w:hAnsi="Verdana" w:cs="Arial"/>
                <w:sz w:val="20"/>
                <w:szCs w:val="20"/>
                <w:lang w:val="es-ES" w:eastAsia="es-MX"/>
              </w:rPr>
              <w:lastRenderedPageBreak/>
              <w:t>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 xml:space="preserve">6 de noviembre </w:t>
            </w:r>
            <w:r w:rsidRPr="00BA4F3D">
              <w:rPr>
                <w:rFonts w:ascii="Verdana" w:eastAsia="Times New Roman" w:hAnsi="Verdana" w:cs="Arial"/>
                <w:sz w:val="20"/>
                <w:szCs w:val="20"/>
                <w:lang w:val="es-ES" w:eastAsia="es-MX"/>
              </w:rPr>
              <w:lastRenderedPageBreak/>
              <w:t>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7 de noviembr</w:t>
            </w:r>
            <w:r w:rsidRPr="00BA4F3D">
              <w:rPr>
                <w:rFonts w:ascii="Verdana" w:eastAsia="Times New Roman" w:hAnsi="Verdana" w:cs="Arial"/>
                <w:sz w:val="20"/>
                <w:szCs w:val="20"/>
                <w:lang w:val="es-ES" w:eastAsia="es-MX"/>
              </w:rPr>
              <w:lastRenderedPageBreak/>
              <w:t>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2</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BLO1701254J9</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BLOKSER, S.A.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 de octubre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octubre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CAC140829MT6</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CONTFIS ABOGADOS Y CONTADORES, S.A.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 de octubre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octubre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4</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COP0906242A0</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COPROTECASE, S. DE R.L.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 de octubre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octubre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COV120314DD4</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COMERCIALIZADORA DE OCCIDENTE VIZCAYA, S.A.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 de octubre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octubre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6</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CSE1309118G7</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CORPORACION DE SERVICIOS ESPECIALIZADOS RSA, S.A.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 de octubre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octubre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7</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DOFA910911NX0</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DOMINGUEZ FLORES ARMANDO ISRAEL</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500-05-2018-29883 de fecha 6 de noviembre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6 de noviembre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7 de noviembre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8</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DPT151208T14</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DESTINO PERFECTO TRAVEL, S.A.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500-05-2018-27113 de fecha 28 de septiembre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28 de septiembre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1 de octubre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9</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FCO12051691A</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FERRO COLECTA, S.A.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 de octubre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octubre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10</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GAU120823RX2</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GAUDENA, S.A.P.I.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500-05-2018-29883 de fecha 6 de noviembre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6 de noviembre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7 de noviembre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11</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MEGA760815166</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MENDOZA GUERRERO ALEJANDRO</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500-05-2018-29883 de fecha 6 de noviembre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6 de noviembre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7 de noviembre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12</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PCC140702N80</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PROFESIONALES EN CONSTRUCCION CONSULTORIA Y AGROCOMERCIO, S. DE R.L.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 de octubre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octubre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13</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PSP1408228JA</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PROYECTOS Y SERVICIOS PACAL, S.A. DE C.V.</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 de octubre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octubre de 2018</w:t>
            </w:r>
          </w:p>
        </w:tc>
      </w:tr>
      <w:tr w:rsidR="00BA4F3D" w:rsidRPr="00BA4F3D" w:rsidTr="00BA4F3D">
        <w:trPr>
          <w:trHeight w:val="144"/>
        </w:trPr>
        <w:tc>
          <w:tcPr>
            <w:tcW w:w="54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14</w:t>
            </w:r>
          </w:p>
        </w:tc>
        <w:tc>
          <w:tcPr>
            <w:tcW w:w="1394"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SAS150205MD6</w:t>
            </w:r>
          </w:p>
        </w:tc>
        <w:tc>
          <w:tcPr>
            <w:tcW w:w="2138"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SULVENT ASESORES, S.C.</w:t>
            </w:r>
          </w:p>
        </w:tc>
        <w:tc>
          <w:tcPr>
            <w:tcW w:w="13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xml:space="preserve">500-05-2018-27119 de fecha 2 </w:t>
            </w:r>
            <w:r w:rsidRPr="00BA4F3D">
              <w:rPr>
                <w:rFonts w:ascii="Verdana" w:eastAsia="Times New Roman" w:hAnsi="Verdana" w:cs="Arial"/>
                <w:sz w:val="20"/>
                <w:szCs w:val="20"/>
                <w:lang w:val="es-ES" w:eastAsia="es-MX"/>
              </w:rPr>
              <w:lastRenderedPageBreak/>
              <w:t>de octubre de 2018</w:t>
            </w:r>
          </w:p>
        </w:tc>
        <w:tc>
          <w:tcPr>
            <w:tcW w:w="135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Administración Central de Fiscalizació</w:t>
            </w:r>
            <w:r w:rsidRPr="00BA4F3D">
              <w:rPr>
                <w:rFonts w:ascii="Verdana" w:eastAsia="Times New Roman" w:hAnsi="Verdana" w:cs="Arial"/>
                <w:sz w:val="20"/>
                <w:szCs w:val="20"/>
                <w:lang w:val="es-ES" w:eastAsia="es-MX"/>
              </w:rPr>
              <w:lastRenderedPageBreak/>
              <w:t>n Estratégica</w:t>
            </w:r>
          </w:p>
        </w:tc>
        <w:tc>
          <w:tcPr>
            <w:tcW w:w="12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2 de octubre de 2018</w:t>
            </w:r>
          </w:p>
        </w:tc>
        <w:tc>
          <w:tcPr>
            <w:tcW w:w="1105"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60" w:after="60"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octubre de 2018</w:t>
            </w:r>
          </w:p>
        </w:tc>
      </w:tr>
    </w:tbl>
    <w:p w:rsidR="00BA4F3D" w:rsidRPr="00BA4F3D" w:rsidRDefault="00BA4F3D" w:rsidP="00BA4F3D">
      <w:pPr>
        <w:spacing w:after="101" w:line="216"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lastRenderedPageBreak/>
        <w:t> </w:t>
      </w:r>
    </w:p>
    <w:p w:rsidR="00BA4F3D" w:rsidRPr="00BA4F3D" w:rsidRDefault="00BA4F3D" w:rsidP="00BA4F3D">
      <w:pPr>
        <w:spacing w:after="101" w:line="216"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b/>
          <w:bCs/>
          <w:color w:val="000000"/>
          <w:sz w:val="20"/>
          <w:szCs w:val="20"/>
          <w:lang w:val="es-ES" w:eastAsia="es-MX"/>
        </w:rPr>
        <w:t>Apartado C.- Notificación en el Diario Oficial de la Federación.</w:t>
      </w:r>
    </w:p>
    <w:tbl>
      <w:tblPr>
        <w:tblW w:w="8715" w:type="dxa"/>
        <w:tblInd w:w="144" w:type="dxa"/>
        <w:tblCellMar>
          <w:left w:w="0" w:type="dxa"/>
          <w:right w:w="0" w:type="dxa"/>
        </w:tblCellMar>
        <w:tblLook w:val="04A0"/>
      </w:tblPr>
      <w:tblGrid>
        <w:gridCol w:w="457"/>
        <w:gridCol w:w="1560"/>
        <w:gridCol w:w="1892"/>
        <w:gridCol w:w="1154"/>
        <w:gridCol w:w="1355"/>
        <w:gridCol w:w="1210"/>
        <w:gridCol w:w="1210"/>
      </w:tblGrid>
      <w:tr w:rsidR="00BA4F3D" w:rsidRPr="00BA4F3D" w:rsidTr="00BA4F3D">
        <w:trPr>
          <w:trHeight w:val="144"/>
          <w:tblHeader/>
        </w:trPr>
        <w:tc>
          <w:tcPr>
            <w:tcW w:w="529"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BA4F3D" w:rsidRPr="00BA4F3D" w:rsidRDefault="00BA4F3D" w:rsidP="00BA4F3D">
            <w:pPr>
              <w:spacing w:before="56" w:after="56"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val="es-ES" w:eastAsia="es-MX"/>
              </w:rPr>
              <w:t> </w:t>
            </w:r>
          </w:p>
        </w:tc>
        <w:tc>
          <w:tcPr>
            <w:tcW w:w="1401"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6" w:after="56"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R.F.C.</w:t>
            </w:r>
          </w:p>
        </w:tc>
        <w:tc>
          <w:tcPr>
            <w:tcW w:w="2160"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6" w:after="56"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Nombre del Contribuyente</w:t>
            </w:r>
          </w:p>
        </w:tc>
        <w:tc>
          <w:tcPr>
            <w:tcW w:w="1316"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6" w:after="56"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Número y fecha de oficio global de presunción</w:t>
            </w:r>
          </w:p>
        </w:tc>
        <w:tc>
          <w:tcPr>
            <w:tcW w:w="1431"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6" w:after="56"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Autoridad emisora del oficio global de presunción</w:t>
            </w:r>
          </w:p>
        </w:tc>
        <w:tc>
          <w:tcPr>
            <w:tcW w:w="1113"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6" w:after="56"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Fecha de notificación en el Diario Oficial de la Federación</w:t>
            </w:r>
          </w:p>
        </w:tc>
        <w:tc>
          <w:tcPr>
            <w:tcW w:w="1109" w:type="dxa"/>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rsidR="00BA4F3D" w:rsidRPr="00BA4F3D" w:rsidRDefault="00BA4F3D" w:rsidP="00BA4F3D">
            <w:pPr>
              <w:spacing w:before="56" w:after="56" w:line="144"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Fecha en que surtió efectos la notificación</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AOM131213UH6</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AV OPERADORA DE MULTISERVICIOS DEL GOLFO, S.A. DE R.L.</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500-05-2018-29883 de fecha 6 de noviembre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diciembre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4 de diciembre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BLO1701254J9</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BLOKSER, S.A.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23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24 de octubre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CAC140829MT6</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CONTFIS ABOGADOS Y CONTADORES, S.A.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23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24 de octubre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4</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COP0906242A0</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COPROTECASE, S. DE R.L.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23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24 de octubre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COV120314DD4</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COMERCIALIZADORA DE OCCIDENTE VIZCAYA, S.A.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23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24 de octubre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6</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CSE1309118G7</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CORPORACION DE SERVICIOS ESPECIALIZADOS RSA, S.A.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23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24 de octubre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7</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DOFA910911NX0</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DOMINGUEZ FLORES ARMANDO ISRAEL</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500-05-2018-29883 de fecha 6 de noviembre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diciembre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4 de diciembre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8</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DPT151208T14</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DESTINO PERFECTO TRAVEL, S.A.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500-05-2018-27113 de fecha 28 de septiembre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16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17 de octubre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9</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FCO12051691A</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FERRO COLECTA, S.A.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23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56" w:after="5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24 de octubre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10</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GAU120823RX2</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GAUDENA, S.A.P.I.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500-05-2018-29883 de fecha 6 de noviembre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3 de diciembre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4 de diciembre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11</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MEGA760815166</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MENDOZA GUERRERO ALEJANDRO</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xml:space="preserve">500-05-2018-29883 de fecha 6 </w:t>
            </w:r>
            <w:r w:rsidRPr="00BA4F3D">
              <w:rPr>
                <w:rFonts w:ascii="Verdana" w:eastAsia="Times New Roman" w:hAnsi="Verdana" w:cs="Arial"/>
                <w:sz w:val="20"/>
                <w:szCs w:val="20"/>
                <w:lang w:val="es-ES" w:eastAsia="es-MX"/>
              </w:rPr>
              <w:lastRenderedPageBreak/>
              <w:t>de noviembre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Administración Central de Fiscalizació</w:t>
            </w:r>
            <w:r w:rsidRPr="00BA4F3D">
              <w:rPr>
                <w:rFonts w:ascii="Verdana" w:eastAsia="Times New Roman" w:hAnsi="Verdana" w:cs="Arial"/>
                <w:sz w:val="20"/>
                <w:szCs w:val="20"/>
                <w:lang w:val="es-ES" w:eastAsia="es-MX"/>
              </w:rPr>
              <w:lastRenderedPageBreak/>
              <w:t>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3 de diciembre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4 de diciembre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12</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PCC140702N80</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PROFESIONALES EN CONSTRUCCION CONSULTORIA Y AGROCOMERCIO, S. DE R.L.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23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24 de octubre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13</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PSP1408228JA</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PROYECTOS Y SERVICIOS PACAL, S.A. DE C.V.</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23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24 de octubre de 2018</w:t>
            </w:r>
          </w:p>
        </w:tc>
      </w:tr>
      <w:tr w:rsidR="00BA4F3D" w:rsidRPr="00BA4F3D" w:rsidTr="00BA4F3D">
        <w:trPr>
          <w:trHeight w:val="144"/>
        </w:trPr>
        <w:tc>
          <w:tcPr>
            <w:tcW w:w="52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14</w:t>
            </w:r>
          </w:p>
        </w:tc>
        <w:tc>
          <w:tcPr>
            <w:tcW w:w="140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SAS150205MD6</w:t>
            </w:r>
          </w:p>
        </w:tc>
        <w:tc>
          <w:tcPr>
            <w:tcW w:w="2160"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SULVENT ASESORES, S.C.</w:t>
            </w:r>
          </w:p>
        </w:tc>
        <w:tc>
          <w:tcPr>
            <w:tcW w:w="1316"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500-05-2018-27119 de fecha 2 de octubre de 2018</w:t>
            </w:r>
          </w:p>
        </w:tc>
        <w:tc>
          <w:tcPr>
            <w:tcW w:w="1431"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Administración Central de Fiscalización Estratégica</w:t>
            </w:r>
          </w:p>
        </w:tc>
        <w:tc>
          <w:tcPr>
            <w:tcW w:w="1113"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23 de octubre de 2018</w:t>
            </w:r>
          </w:p>
        </w:tc>
        <w:tc>
          <w:tcPr>
            <w:tcW w:w="1109" w:type="dxa"/>
            <w:tcBorders>
              <w:top w:val="nil"/>
              <w:left w:val="nil"/>
              <w:bottom w:val="single" w:sz="8" w:space="0" w:color="auto"/>
              <w:right w:val="single" w:sz="8" w:space="0" w:color="auto"/>
            </w:tcBorders>
            <w:tcMar>
              <w:top w:w="0" w:type="dxa"/>
              <w:left w:w="72" w:type="dxa"/>
              <w:bottom w:w="0" w:type="dxa"/>
              <w:right w:w="72" w:type="dxa"/>
            </w:tcMar>
            <w:hideMark/>
          </w:tcPr>
          <w:p w:rsidR="00BA4F3D" w:rsidRPr="00BA4F3D" w:rsidRDefault="00BA4F3D" w:rsidP="00BA4F3D">
            <w:pPr>
              <w:spacing w:before="26" w:after="26" w:line="144"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24 de octubre de 2018</w:t>
            </w:r>
          </w:p>
        </w:tc>
      </w:tr>
    </w:tbl>
    <w:p w:rsidR="00BA4F3D" w:rsidRPr="00BA4F3D" w:rsidRDefault="00BA4F3D" w:rsidP="00BA4F3D">
      <w:pPr>
        <w:spacing w:after="0" w:line="180"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color w:val="000000"/>
          <w:sz w:val="20"/>
          <w:szCs w:val="20"/>
          <w:lang w:val="es-ES" w:eastAsia="es-MX"/>
        </w:rPr>
        <w:t> </w:t>
      </w:r>
    </w:p>
    <w:p w:rsidR="00BA4F3D" w:rsidRPr="00BA4F3D" w:rsidRDefault="00BA4F3D" w:rsidP="00BA4F3D">
      <w:pPr>
        <w:spacing w:after="101" w:line="216" w:lineRule="atLeast"/>
        <w:ind w:firstLine="288"/>
        <w:jc w:val="both"/>
        <w:rPr>
          <w:rFonts w:ascii="Verdana" w:eastAsia="Times New Roman" w:hAnsi="Verdana" w:cs="Arial"/>
          <w:color w:val="000000"/>
          <w:sz w:val="20"/>
          <w:szCs w:val="20"/>
          <w:lang w:eastAsia="es-MX"/>
        </w:rPr>
      </w:pPr>
      <w:r w:rsidRPr="00BA4F3D">
        <w:rPr>
          <w:rFonts w:ascii="Verdana" w:eastAsia="Times New Roman" w:hAnsi="Verdana" w:cs="Arial"/>
          <w:b/>
          <w:bCs/>
          <w:color w:val="000000"/>
          <w:sz w:val="20"/>
          <w:szCs w:val="20"/>
          <w:lang w:val="es-ES" w:eastAsia="es-MX"/>
        </w:rPr>
        <w:t>Apartado D.- Notificación del oficio de RESOLUCIÓN DEFINITIVA conforme al cuarto párrafo del artículo 69-B del Código Fiscal de la Federación.</w:t>
      </w:r>
    </w:p>
    <w:tbl>
      <w:tblPr>
        <w:tblW w:w="8760" w:type="dxa"/>
        <w:jc w:val="center"/>
        <w:tblCellMar>
          <w:left w:w="0" w:type="dxa"/>
          <w:right w:w="0" w:type="dxa"/>
        </w:tblCellMar>
        <w:tblLook w:val="04A0"/>
      </w:tblPr>
      <w:tblGrid>
        <w:gridCol w:w="224"/>
        <w:gridCol w:w="1022"/>
        <w:gridCol w:w="1376"/>
        <w:gridCol w:w="713"/>
        <w:gridCol w:w="952"/>
        <w:gridCol w:w="682"/>
        <w:gridCol w:w="791"/>
        <w:gridCol w:w="791"/>
        <w:gridCol w:w="791"/>
        <w:gridCol w:w="791"/>
        <w:gridCol w:w="791"/>
      </w:tblGrid>
      <w:tr w:rsidR="00BA4F3D" w:rsidRPr="00BA4F3D" w:rsidTr="00BA4F3D">
        <w:trPr>
          <w:trHeight w:val="20"/>
          <w:jc w:val="center"/>
        </w:trPr>
        <w:tc>
          <w:tcPr>
            <w:tcW w:w="295" w:type="dxa"/>
            <w:vMerge w:val="restart"/>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val="es-ES" w:eastAsia="es-MX"/>
              </w:rPr>
              <w:t> </w:t>
            </w:r>
          </w:p>
        </w:tc>
        <w:tc>
          <w:tcPr>
            <w:tcW w:w="969"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R.F.C.</w:t>
            </w:r>
          </w:p>
        </w:tc>
        <w:tc>
          <w:tcPr>
            <w:tcW w:w="1099"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Nombre del Contribuyente</w:t>
            </w:r>
          </w:p>
        </w:tc>
        <w:tc>
          <w:tcPr>
            <w:tcW w:w="990"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Número y fecha de resolución definitiva</w:t>
            </w:r>
          </w:p>
        </w:tc>
        <w:tc>
          <w:tcPr>
            <w:tcW w:w="900" w:type="dxa"/>
            <w:vMerge w:val="restart"/>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Autoridad emisora de la resolución definitiva</w:t>
            </w:r>
          </w:p>
        </w:tc>
        <w:tc>
          <w:tcPr>
            <w:tcW w:w="4508" w:type="dxa"/>
            <w:gridSpan w:val="6"/>
            <w:tcBorders>
              <w:top w:val="single" w:sz="8" w:space="0" w:color="auto"/>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Medio de notificación al contribuyente</w:t>
            </w:r>
          </w:p>
        </w:tc>
      </w:tr>
      <w:tr w:rsidR="00BA4F3D" w:rsidRPr="00BA4F3D" w:rsidTr="00BA4F3D">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1556"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Estrados de la autoridad</w:t>
            </w:r>
          </w:p>
        </w:tc>
        <w:tc>
          <w:tcPr>
            <w:tcW w:w="1440"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Notificación personal</w:t>
            </w:r>
          </w:p>
        </w:tc>
        <w:tc>
          <w:tcPr>
            <w:tcW w:w="1512" w:type="dxa"/>
            <w:gridSpan w:val="2"/>
            <w:tcBorders>
              <w:top w:val="nil"/>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Notificación por Buzón Tributario</w:t>
            </w:r>
          </w:p>
        </w:tc>
      </w:tr>
      <w:tr w:rsidR="00BA4F3D" w:rsidRPr="00BA4F3D" w:rsidTr="00BA4F3D">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0" w:type="auto"/>
            <w:vMerge/>
            <w:tcBorders>
              <w:top w:val="single" w:sz="8" w:space="0" w:color="auto"/>
              <w:left w:val="nil"/>
              <w:bottom w:val="single" w:sz="8" w:space="0" w:color="auto"/>
              <w:right w:val="single" w:sz="8" w:space="0" w:color="auto"/>
            </w:tcBorders>
            <w:vAlign w:val="center"/>
            <w:hideMark/>
          </w:tcPr>
          <w:p w:rsidR="00BA4F3D" w:rsidRPr="00BA4F3D" w:rsidRDefault="00BA4F3D" w:rsidP="00BA4F3D">
            <w:pPr>
              <w:spacing w:after="0" w:line="240" w:lineRule="auto"/>
              <w:rPr>
                <w:rFonts w:ascii="Verdana" w:eastAsia="Times New Roman" w:hAnsi="Verdana" w:cs="Arial"/>
                <w:sz w:val="20"/>
                <w:szCs w:val="20"/>
                <w:lang w:eastAsia="es-MX"/>
              </w:rPr>
            </w:pPr>
          </w:p>
        </w:tc>
        <w:tc>
          <w:tcPr>
            <w:tcW w:w="836"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Fecha de fijación en los estrados de la Auto</w:t>
            </w:r>
            <w:r w:rsidRPr="00BA4F3D">
              <w:rPr>
                <w:rFonts w:ascii="Verdana" w:eastAsia="Times New Roman" w:hAnsi="Verdana" w:cs="Arial"/>
                <w:b/>
                <w:bCs/>
                <w:sz w:val="20"/>
                <w:szCs w:val="20"/>
                <w:lang w:eastAsia="es-MX"/>
              </w:rPr>
              <w:lastRenderedPageBreak/>
              <w:t>ridad Fiscal</w:t>
            </w:r>
          </w:p>
        </w:tc>
        <w:tc>
          <w:tcPr>
            <w:tcW w:w="72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lastRenderedPageBreak/>
              <w:t>Fecha en que surtió efectos la notificación</w:t>
            </w:r>
          </w:p>
        </w:tc>
        <w:tc>
          <w:tcPr>
            <w:tcW w:w="72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Fecha de notificación</w:t>
            </w:r>
          </w:p>
        </w:tc>
        <w:tc>
          <w:tcPr>
            <w:tcW w:w="720"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Fecha en que surtió efectos la notificación</w:t>
            </w:r>
          </w:p>
        </w:tc>
        <w:tc>
          <w:tcPr>
            <w:tcW w:w="774"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Fecha de notificación</w:t>
            </w:r>
          </w:p>
        </w:tc>
        <w:tc>
          <w:tcPr>
            <w:tcW w:w="738" w:type="dxa"/>
            <w:tcBorders>
              <w:top w:val="nil"/>
              <w:left w:val="nil"/>
              <w:bottom w:val="single" w:sz="8" w:space="0" w:color="auto"/>
              <w:right w:val="single" w:sz="8" w:space="0" w:color="auto"/>
            </w:tcBorders>
            <w:tcMar>
              <w:top w:w="0" w:type="dxa"/>
              <w:left w:w="43" w:type="dxa"/>
              <w:bottom w:w="0" w:type="dxa"/>
              <w:right w:w="43" w:type="dxa"/>
            </w:tcMar>
            <w:vAlign w:val="center"/>
            <w:hideMark/>
          </w:tcPr>
          <w:p w:rsidR="00BA4F3D" w:rsidRPr="00BA4F3D" w:rsidRDefault="00BA4F3D" w:rsidP="00BA4F3D">
            <w:pPr>
              <w:spacing w:before="30" w:after="20" w:line="20" w:lineRule="atLeast"/>
              <w:jc w:val="center"/>
              <w:rPr>
                <w:rFonts w:ascii="Verdana" w:eastAsia="Times New Roman" w:hAnsi="Verdana" w:cs="Arial"/>
                <w:sz w:val="20"/>
                <w:szCs w:val="20"/>
                <w:lang w:eastAsia="es-MX"/>
              </w:rPr>
            </w:pPr>
            <w:r w:rsidRPr="00BA4F3D">
              <w:rPr>
                <w:rFonts w:ascii="Verdana" w:eastAsia="Times New Roman" w:hAnsi="Verdana" w:cs="Arial"/>
                <w:b/>
                <w:bCs/>
                <w:sz w:val="20"/>
                <w:szCs w:val="20"/>
                <w:lang w:eastAsia="es-MX"/>
              </w:rPr>
              <w:t>Fecha en que surtió efectos la notificación</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1</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AOM131213UH6</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AV OPERADORA DE MULTISERVICIOS DEL GOLFO, S.A. DE R.L.</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500-14-00-03-02 -2019-0201 de fecha 15 de enero de 2019</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Campeche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21 de enero de 2019</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22 de enero de 2019</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BLO1701254J9</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BLOKSER, S.A.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500-51-00-05-03-2018-29441 de fecha 26 de noviembre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Sinaloa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 de diciembre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4 de diciembre de 2018</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CAC140829MT6</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CONTFIS ABOGADOS Y CONTADORES, S.A.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500-30-00-04-02-2018-07752 de fecha 26 de noviembre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Jalisco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30 de noviembre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 de diciembre de 2018</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4</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COP0906242A0</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COPROTECASE, S. DE R.L.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xml:space="preserve">500-69-00-01-02-2018-26559 de </w:t>
            </w:r>
            <w:r w:rsidRPr="00BA4F3D">
              <w:rPr>
                <w:rFonts w:ascii="Verdana" w:eastAsia="Times New Roman" w:hAnsi="Verdana" w:cs="Arial"/>
                <w:sz w:val="20"/>
                <w:szCs w:val="20"/>
                <w:lang w:val="es-ES" w:eastAsia="es-MX"/>
              </w:rPr>
              <w:lastRenderedPageBreak/>
              <w:t>fecha 5 de diciembre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 xml:space="preserve">Administración Desconcentrada de Auditoría Fiscal de </w:t>
            </w:r>
            <w:r w:rsidRPr="00BA4F3D">
              <w:rPr>
                <w:rFonts w:ascii="Verdana" w:eastAsia="Times New Roman" w:hAnsi="Verdana" w:cs="Arial"/>
                <w:color w:val="000000"/>
                <w:sz w:val="20"/>
                <w:szCs w:val="20"/>
                <w:lang w:val="es-ES" w:eastAsia="es-MX"/>
              </w:rPr>
              <w:lastRenderedPageBreak/>
              <w:t>Yucatán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11 de diciembre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12 de diciembre de 2018</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5</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COV120314DD4</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pacing w:val="-2"/>
                <w:sz w:val="20"/>
                <w:szCs w:val="20"/>
                <w:lang w:val="es-ES" w:eastAsia="es-MX"/>
              </w:rPr>
              <w:t>COMERCIALIZADORA</w:t>
            </w:r>
            <w:r w:rsidRPr="00BA4F3D">
              <w:rPr>
                <w:rFonts w:ascii="Verdana" w:eastAsia="Times New Roman" w:hAnsi="Verdana" w:cs="Arial"/>
                <w:color w:val="000000"/>
                <w:sz w:val="20"/>
                <w:szCs w:val="20"/>
                <w:lang w:val="es-ES" w:eastAsia="es-MX"/>
              </w:rPr>
              <w:t>DE OCCIDENTE VIZCAYA, S.A.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500-30-00-05-01-2018-07598 de fecha 23 de noviembre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Jalisco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29 de noviembre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30 de noviembre de 2018</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6</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CSE1309118G7</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CORPORACION DE SERVICIOS ESPECIALIZADOS RSA, S.A.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500-30-2018-08062 de fecha 26 de noviembre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Jalisco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27 de noviembre de 2018</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07 de enero de 2019</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7</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DOFA910911NX0</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DOMINGUEZ FLORES ARMANDO ISRAEL</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500-45-00-02-03-2018-10086 de fecha 16 de enero de 2019</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Puebla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22 de enero de 2019</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23 de enero de 2019</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8</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DPT151208T14</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DESTINO PERFECTO TRAVEL, S.A.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500-05-2018-32690 de fecha 27 de novie</w:t>
            </w:r>
            <w:r w:rsidRPr="00BA4F3D">
              <w:rPr>
                <w:rFonts w:ascii="Verdana" w:eastAsia="Times New Roman" w:hAnsi="Verdana" w:cs="Arial"/>
                <w:sz w:val="20"/>
                <w:szCs w:val="20"/>
                <w:lang w:val="es-ES" w:eastAsia="es-MX"/>
              </w:rPr>
              <w:lastRenderedPageBreak/>
              <w:t>mbre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Administración Central de Fiscalización Estratégica</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7 de enero de 2019</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8 de enero de 2019</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9</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FCO12051691A</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FERRO COLECTA, S.A.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500-41-00-07-01-2019-923 de fecha 8 de enero de 2019</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Nuevo León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21 de enero de 2019</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22 de enero de 2019</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10</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GAU120823RX2</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GAUDENA, S.A.P.I.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500-05-2019-5081 de fecha 14 de enero de 2019</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Central de Fiscalización Estratégica</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17 de enero de 2019</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18 de enero de 2019</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11</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MEGA760815166</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MENDOZA GUERRERO ALEJANDRO</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500-05-2019-5083 de fecha 15 de enero de 2019</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Central de Fiscalización Estratégica</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18 de enero de 2019</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21 de enero de 2019</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12</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PCC140702N80</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PROFESIONALES EN CONSTRUCCION CONSULTORIA Y AGROCOMERCIO, S. DE R.L.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500-69-00-05-02-2018-25976 de fecha 28 de noviembre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Yucatán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3 de diciembre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4 de diciembre de 2018</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1</w:t>
            </w:r>
            <w:r w:rsidRPr="00BA4F3D">
              <w:rPr>
                <w:rFonts w:ascii="Verdana" w:eastAsia="Times New Roman" w:hAnsi="Verdana" w:cs="Arial"/>
                <w:color w:val="000000"/>
                <w:sz w:val="20"/>
                <w:szCs w:val="20"/>
                <w:lang w:val="es-ES" w:eastAsia="es-MX"/>
              </w:rPr>
              <w:lastRenderedPageBreak/>
              <w:t>3</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PSP1408</w:t>
            </w:r>
            <w:r w:rsidRPr="00BA4F3D">
              <w:rPr>
                <w:rFonts w:ascii="Verdana" w:eastAsia="Times New Roman" w:hAnsi="Verdana" w:cs="Arial"/>
                <w:color w:val="000000"/>
                <w:sz w:val="20"/>
                <w:szCs w:val="20"/>
                <w:lang w:val="es-ES" w:eastAsia="es-MX"/>
              </w:rPr>
              <w:lastRenderedPageBreak/>
              <w:t>228JA</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 xml:space="preserve">PROYECTOS </w:t>
            </w:r>
            <w:r w:rsidRPr="00BA4F3D">
              <w:rPr>
                <w:rFonts w:ascii="Verdana" w:eastAsia="Times New Roman" w:hAnsi="Verdana" w:cs="Arial"/>
                <w:color w:val="000000"/>
                <w:sz w:val="20"/>
                <w:szCs w:val="20"/>
                <w:lang w:val="es-ES" w:eastAsia="es-MX"/>
              </w:rPr>
              <w:lastRenderedPageBreak/>
              <w:t>Y SERVICIOS PACAL, S.A. DE C.V.</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500-</w:t>
            </w:r>
            <w:r w:rsidRPr="00BA4F3D">
              <w:rPr>
                <w:rFonts w:ascii="Verdana" w:eastAsia="Times New Roman" w:hAnsi="Verdana" w:cs="Arial"/>
                <w:sz w:val="20"/>
                <w:szCs w:val="20"/>
                <w:lang w:val="es-ES" w:eastAsia="es-MX"/>
              </w:rPr>
              <w:lastRenderedPageBreak/>
              <w:t>60-00-04-04-2018-05525 de fecha 14 de diciembre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Adminis</w:t>
            </w:r>
            <w:r w:rsidRPr="00BA4F3D">
              <w:rPr>
                <w:rFonts w:ascii="Verdana" w:eastAsia="Times New Roman" w:hAnsi="Verdana" w:cs="Arial"/>
                <w:color w:val="000000"/>
                <w:sz w:val="20"/>
                <w:szCs w:val="20"/>
                <w:lang w:val="es-ES" w:eastAsia="es-MX"/>
              </w:rPr>
              <w:lastRenderedPageBreak/>
              <w:t>tración Desconcentrada de Auditoría Fiscal de Tamaulipas "3"</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lastRenderedPageBreak/>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 xml:space="preserve">7 de </w:t>
            </w:r>
            <w:r w:rsidRPr="00BA4F3D">
              <w:rPr>
                <w:rFonts w:ascii="Verdana" w:eastAsia="Times New Roman" w:hAnsi="Verdana" w:cs="Arial"/>
                <w:color w:val="000000"/>
                <w:sz w:val="20"/>
                <w:szCs w:val="20"/>
                <w:lang w:val="es-ES" w:eastAsia="es-MX"/>
              </w:rPr>
              <w:lastRenderedPageBreak/>
              <w:t>enero de 2019</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 xml:space="preserve">8 de </w:t>
            </w:r>
            <w:r w:rsidRPr="00BA4F3D">
              <w:rPr>
                <w:rFonts w:ascii="Verdana" w:eastAsia="Times New Roman" w:hAnsi="Verdana" w:cs="Arial"/>
                <w:color w:val="000000"/>
                <w:sz w:val="20"/>
                <w:szCs w:val="20"/>
                <w:lang w:val="es-ES" w:eastAsia="es-MX"/>
              </w:rPr>
              <w:lastRenderedPageBreak/>
              <w:t>enero de 2019</w:t>
            </w:r>
          </w:p>
        </w:tc>
      </w:tr>
      <w:tr w:rsidR="00BA4F3D" w:rsidRPr="00BA4F3D" w:rsidTr="00BA4F3D">
        <w:trPr>
          <w:trHeight w:val="20"/>
          <w:jc w:val="center"/>
        </w:trPr>
        <w:tc>
          <w:tcPr>
            <w:tcW w:w="29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lastRenderedPageBreak/>
              <w:t>14</w:t>
            </w:r>
          </w:p>
        </w:tc>
        <w:tc>
          <w:tcPr>
            <w:tcW w:w="96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SAS150205MD6</w:t>
            </w:r>
          </w:p>
        </w:tc>
        <w:tc>
          <w:tcPr>
            <w:tcW w:w="1099"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SULVENT ASESORES, S.C.</w:t>
            </w:r>
          </w:p>
        </w:tc>
        <w:tc>
          <w:tcPr>
            <w:tcW w:w="99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500-30-00-07-02-2018-07505 de fecha 28 de noviembre de 2018</w:t>
            </w:r>
          </w:p>
        </w:tc>
        <w:tc>
          <w:tcPr>
            <w:tcW w:w="90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Administración Desconcentrada de Auditoría Fiscal de Jalisco "1"</w:t>
            </w:r>
          </w:p>
        </w:tc>
        <w:tc>
          <w:tcPr>
            <w:tcW w:w="836"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20"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sz w:val="20"/>
                <w:szCs w:val="20"/>
                <w:lang w:val="es-ES" w:eastAsia="es-MX"/>
              </w:rPr>
              <w:t> </w:t>
            </w:r>
          </w:p>
        </w:tc>
        <w:tc>
          <w:tcPr>
            <w:tcW w:w="774"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4 de diciembre de 2018</w:t>
            </w:r>
          </w:p>
        </w:tc>
        <w:tc>
          <w:tcPr>
            <w:tcW w:w="738" w:type="dxa"/>
            <w:tcBorders>
              <w:top w:val="nil"/>
              <w:left w:val="nil"/>
              <w:bottom w:val="single" w:sz="8" w:space="0" w:color="auto"/>
              <w:right w:val="single" w:sz="8" w:space="0" w:color="auto"/>
            </w:tcBorders>
            <w:tcMar>
              <w:top w:w="0" w:type="dxa"/>
              <w:left w:w="43" w:type="dxa"/>
              <w:bottom w:w="0" w:type="dxa"/>
              <w:right w:w="43" w:type="dxa"/>
            </w:tcMar>
            <w:hideMark/>
          </w:tcPr>
          <w:p w:rsidR="00BA4F3D" w:rsidRPr="00BA4F3D" w:rsidRDefault="00BA4F3D" w:rsidP="00BA4F3D">
            <w:pPr>
              <w:spacing w:before="30" w:after="20" w:line="20" w:lineRule="atLeast"/>
              <w:rPr>
                <w:rFonts w:ascii="Verdana" w:eastAsia="Times New Roman" w:hAnsi="Verdana" w:cs="Arial"/>
                <w:sz w:val="20"/>
                <w:szCs w:val="20"/>
                <w:lang w:eastAsia="es-MX"/>
              </w:rPr>
            </w:pPr>
            <w:r w:rsidRPr="00BA4F3D">
              <w:rPr>
                <w:rFonts w:ascii="Verdana" w:eastAsia="Times New Roman" w:hAnsi="Verdana" w:cs="Arial"/>
                <w:color w:val="000000"/>
                <w:sz w:val="20"/>
                <w:szCs w:val="20"/>
                <w:lang w:val="es-ES" w:eastAsia="es-MX"/>
              </w:rPr>
              <w:t>5 de diciembre de 2018</w:t>
            </w:r>
          </w:p>
        </w:tc>
      </w:tr>
    </w:tbl>
    <w:p w:rsidR="00BA4F3D" w:rsidRPr="00BA4F3D" w:rsidRDefault="00BA4F3D" w:rsidP="00BA4F3D">
      <w:pPr>
        <w:spacing w:after="0" w:line="240" w:lineRule="auto"/>
        <w:jc w:val="both"/>
        <w:rPr>
          <w:rFonts w:ascii="Verdana" w:eastAsia="Times New Roman" w:hAnsi="Verdana" w:cs="Calibri"/>
          <w:color w:val="000000"/>
          <w:sz w:val="20"/>
          <w:szCs w:val="20"/>
          <w:lang w:eastAsia="es-MX"/>
        </w:rPr>
      </w:pPr>
      <w:r w:rsidRPr="00BA4F3D">
        <w:rPr>
          <w:rFonts w:ascii="Verdana" w:eastAsia="Times New Roman" w:hAnsi="Verdana" w:cs="Arial"/>
          <w:color w:val="000000"/>
          <w:sz w:val="20"/>
          <w:szCs w:val="20"/>
          <w:lang w:eastAsia="es-MX"/>
        </w:rPr>
        <w:t>____________________________</w:t>
      </w:r>
    </w:p>
    <w:p w:rsidR="00BA4F3D" w:rsidRPr="00BA4F3D" w:rsidRDefault="00BA4F3D" w:rsidP="00BA4F3D">
      <w:pPr>
        <w:spacing w:after="0" w:line="240" w:lineRule="auto"/>
        <w:jc w:val="both"/>
        <w:rPr>
          <w:rFonts w:ascii="Verdana" w:eastAsia="Times New Roman" w:hAnsi="Verdana" w:cs="Calibri"/>
          <w:color w:val="000000"/>
          <w:sz w:val="20"/>
          <w:szCs w:val="20"/>
          <w:lang w:eastAsia="es-MX"/>
        </w:rPr>
      </w:pPr>
      <w:r w:rsidRPr="00BA4F3D">
        <w:rPr>
          <w:rFonts w:ascii="Verdana" w:eastAsia="Times New Roman" w:hAnsi="Verdana" w:cs="Arial"/>
          <w:color w:val="000000"/>
          <w:sz w:val="20"/>
          <w:szCs w:val="20"/>
          <w:lang w:eastAsia="es-MX"/>
        </w:rPr>
        <w:t> </w:t>
      </w:r>
    </w:p>
    <w:p w:rsidR="005356E2" w:rsidRPr="00BA4F3D" w:rsidRDefault="005356E2">
      <w:pPr>
        <w:rPr>
          <w:rFonts w:ascii="Verdana" w:hAnsi="Verdana"/>
          <w:sz w:val="20"/>
          <w:szCs w:val="20"/>
        </w:rPr>
      </w:pPr>
    </w:p>
    <w:sectPr w:rsidR="005356E2" w:rsidRPr="00BA4F3D" w:rsidSect="005356E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A4F3D"/>
    <w:rsid w:val="005356E2"/>
    <w:rsid w:val="00BA4F3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BA4F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BA4F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BA4F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4F3D"/>
    <w:rPr>
      <w:color w:val="0000FF"/>
      <w:u w:val="single"/>
    </w:rPr>
  </w:style>
  <w:style w:type="character" w:styleId="Hipervnculovisitado">
    <w:name w:val="FollowedHyperlink"/>
    <w:basedOn w:val="Fuentedeprrafopredeter"/>
    <w:uiPriority w:val="99"/>
    <w:semiHidden/>
    <w:unhideWhenUsed/>
    <w:rsid w:val="00BA4F3D"/>
    <w:rPr>
      <w:color w:val="800080"/>
      <w:u w:val="single"/>
    </w:rPr>
  </w:style>
</w:styles>
</file>

<file path=word/webSettings.xml><?xml version="1.0" encoding="utf-8"?>
<w:webSettings xmlns:r="http://schemas.openxmlformats.org/officeDocument/2006/relationships" xmlns:w="http://schemas.openxmlformats.org/wordprocessingml/2006/main">
  <w:divs>
    <w:div w:id="1880891964">
      <w:bodyDiv w:val="1"/>
      <w:marLeft w:val="0"/>
      <w:marRight w:val="0"/>
      <w:marTop w:val="0"/>
      <w:marBottom w:val="0"/>
      <w:divBdr>
        <w:top w:val="none" w:sz="0" w:space="0" w:color="auto"/>
        <w:left w:val="none" w:sz="0" w:space="0" w:color="auto"/>
        <w:bottom w:val="none" w:sz="0" w:space="0" w:color="auto"/>
        <w:right w:val="none" w:sz="0" w:space="0" w:color="auto"/>
      </w:divBdr>
      <w:divsChild>
        <w:div w:id="1941376418">
          <w:marLeft w:val="0"/>
          <w:marRight w:val="0"/>
          <w:marTop w:val="0"/>
          <w:marBottom w:val="0"/>
          <w:divBdr>
            <w:top w:val="none" w:sz="0" w:space="0" w:color="auto"/>
            <w:left w:val="none" w:sz="0" w:space="0" w:color="auto"/>
            <w:bottom w:val="single" w:sz="12" w:space="1" w:color="auto"/>
            <w:right w:val="none" w:sz="0" w:space="0" w:color="auto"/>
          </w:divBdr>
        </w:div>
        <w:div w:id="238755518">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t.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3607</Words>
  <Characters>19841</Characters>
  <Application>Microsoft Office Word</Application>
  <DocSecurity>0</DocSecurity>
  <Lines>165</Lines>
  <Paragraphs>46</Paragraphs>
  <ScaleCrop>false</ScaleCrop>
  <Company>Toshiba</Company>
  <LinksUpToDate>false</LinksUpToDate>
  <CharactersWithSpaces>23402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2019-04-18T16:39:00Z</dcterms:created>
  <dcterms:modified xsi:type="dcterms:W3CDTF">2019-04-18T16:41:00Z</dcterms:modified>
</cp:coreProperties>
</file>