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5A" w:rsidRDefault="0078655A" w:rsidP="0078655A">
      <w:pPr>
        <w:jc w:val="center"/>
        <w:rPr>
          <w:rFonts w:ascii="Verdana" w:eastAsia="Verdana" w:hAnsi="Verdana" w:cs="Verdana"/>
          <w:b/>
          <w:color w:val="0000FF"/>
          <w:sz w:val="24"/>
          <w:szCs w:val="24"/>
        </w:rPr>
      </w:pPr>
      <w:r w:rsidRPr="0078655A">
        <w:rPr>
          <w:rFonts w:ascii="Verdana" w:eastAsia="Verdana" w:hAnsi="Verdana" w:cs="Verdana"/>
          <w:b/>
          <w:color w:val="0000FF"/>
          <w:sz w:val="24"/>
          <w:szCs w:val="24"/>
        </w:rPr>
        <w:t>ACUERDO mediante el cual el Pleno acuerda que no correrán los plazos de algunos procedimientos tramitados ante la Comisión Federal de Competencia Económica.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B32171" w:rsidRDefault="0078655A" w:rsidP="0078655A">
      <w:pPr>
        <w:jc w:val="both"/>
        <w:rPr>
          <w:rFonts w:ascii="Arial" w:hAnsi="Arial" w:cs="Arial"/>
          <w:b/>
          <w:color w:val="262626" w:themeColor="text1" w:themeTint="D9"/>
          <w:sz w:val="18"/>
        </w:rPr>
      </w:pPr>
      <w:r w:rsidRPr="0078655A">
        <w:rPr>
          <w:rFonts w:ascii="Arial" w:hAnsi="Arial" w:cs="Arial"/>
          <w:b/>
          <w:color w:val="262626" w:themeColor="text1" w:themeTint="D9"/>
          <w:sz w:val="18"/>
        </w:rPr>
        <w:t>Al margen un sello con el Escudo Nacional, que dice: Estados Unidos Mexicanos.- Comisión Federal de Competencia Económica.- Pleno.</w:t>
      </w:r>
    </w:p>
    <w:p w:rsidR="0078655A" w:rsidRPr="0078655A" w:rsidRDefault="0078655A" w:rsidP="007865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55A">
        <w:rPr>
          <w:rFonts w:ascii="Times" w:eastAsia="Times New Roman" w:hAnsi="Times" w:cs="Times"/>
          <w:b/>
          <w:bCs/>
          <w:color w:val="2F2F2F"/>
          <w:sz w:val="18"/>
          <w:szCs w:val="18"/>
          <w:lang w:eastAsia="es-MX"/>
        </w:rPr>
        <w:t>Acuerdo No. CFCE-006-2022</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ACUERDO MEDIANTE EL CUAL EL PLENO ACUERDA QUE NO CORRERÁN LOS PLAZOS DE ALGUNOS PROCEDIMIENTOS TRAMITADOS ANTE LA COMISIÓN FEDERAL DE COMPETENCIA ECONÓMICA</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Con fundamento en los artículos 28, párrafos décimo cuarto, vigésimo y vigésimo primero, de la Constitución Política de los Estados Unidos Mexicanos; 12, fracción XXX, 20, fracciones XI y XII, 115, segundo párrafo, y 121, de la Ley Federal de Competencia Económica (LFCE); 1, 3, 4, fracciones I y II, 5, fracción XXXIX, 6, 7, 8, y 12, fracción XXXV, del Estatuto Orgánico de la Comisión Federal de Competencia Económica vigente (Estatuto), así como el "</w:t>
      </w:r>
      <w:r w:rsidRPr="0078655A">
        <w:rPr>
          <w:rFonts w:ascii="Arial" w:eastAsia="Times New Roman" w:hAnsi="Arial" w:cs="Arial"/>
          <w:i/>
          <w:iCs/>
          <w:color w:val="2F2F2F"/>
          <w:sz w:val="18"/>
          <w:szCs w:val="18"/>
          <w:lang w:eastAsia="es-MX"/>
        </w:rPr>
        <w:t>Acuerdo mediante el cual el Pleno autoriza la celebración de sesiones de forma remota en virtud de la contingencia existente en materia de salud y se derogan ciertos artículos de los Lineamientos para el funcionamiento del Pleno</w:t>
      </w:r>
      <w:r w:rsidRPr="0078655A">
        <w:rPr>
          <w:rFonts w:ascii="Arial" w:eastAsia="Times New Roman" w:hAnsi="Arial" w:cs="Arial"/>
          <w:color w:val="2F2F2F"/>
          <w:sz w:val="18"/>
          <w:szCs w:val="18"/>
          <w:lang w:eastAsia="es-MX"/>
        </w:rPr>
        <w:t>";(1) el Pleno de la Comisión Federal de Competencia Económica (Comisión), en sesión excepcional celebrada el doce de enero de dos mil veintidós, manifiesta su conformidad para la emisión del presente acuerdo.</w:t>
      </w:r>
    </w:p>
    <w:p w:rsidR="0078655A" w:rsidRPr="0078655A" w:rsidRDefault="0078655A" w:rsidP="007865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55A">
        <w:rPr>
          <w:rFonts w:ascii="Times" w:eastAsia="Times New Roman" w:hAnsi="Times" w:cs="Times"/>
          <w:b/>
          <w:bCs/>
          <w:color w:val="2F2F2F"/>
          <w:sz w:val="18"/>
          <w:szCs w:val="18"/>
          <w:lang w:eastAsia="es-MX"/>
        </w:rPr>
        <w:t>CONSIDERANDO QUE</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1.</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2.</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La COVID-19 es una enfermedad infecciosa que pone en riesgo la salud y la integridad de la población, en razón de su fácil propagación y sus consecuencias;(3)</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3.</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Ante los niveles de propagación y gravedad, el once de marzo de dos mil veinte la Organización Mundial de la Salud (OMS), declaró que la COVID-19 es una pandemia;(4)</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4.</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5.</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Con motivo de las recomendaciones de la OMS y de las autoridades sanitarias de los Estados Unidos Mexicanos con relación a la ya declarada pandemia mundial por el virus COVID-19, en las 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6.</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Diversas autoridades del Estado Mexicano han acordado realizar parcialmente sus funciones de forma no presencial atendiendo a la contingencia sanitaria.</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7.</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El diecinueve de marzo de dos mil veinte, el Pleno de la Comisión (Pleno) emitió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publicado en el Diario Oficial de la Federación (DOF) el veinticuatro de marzo de dos mil veinte. El catorce de abril de dos mil veinte, el Pleno emitió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publicado en el</w:t>
      </w:r>
    </w:p>
    <w:p w:rsidR="0078655A" w:rsidRPr="0078655A" w:rsidRDefault="0078655A" w:rsidP="0078655A">
      <w:pPr>
        <w:shd w:val="clear" w:color="auto" w:fill="FFFFFF"/>
        <w:spacing w:after="101" w:line="240" w:lineRule="auto"/>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DOF el diecisiete de abril de dos mil veinte. Asimismo, el veintisiete de abril de dos mil veinte, el Pleno emitió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publicado en el DOF el treinta de abril de dos mil veinte. Con fecha veintinueve de mayo de dos mil veinte se publicó en el DOF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el doce de junio de dos mil veinte se publicó en el DOF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el treinta de junio de dos mil veinte se publicó en el DOF el "</w:t>
      </w:r>
      <w:r w:rsidRPr="0078655A">
        <w:rPr>
          <w:rFonts w:ascii="Arial" w:eastAsia="Times New Roman" w:hAnsi="Arial" w:cs="Arial"/>
          <w:i/>
          <w:iCs/>
          <w:color w:val="2F2F2F"/>
          <w:sz w:val="18"/>
          <w:szCs w:val="18"/>
          <w:lang w:eastAsia="es-MX"/>
        </w:rPr>
        <w:t xml:space="preserve">Acuerdo mediante el cual el Pleno resuelve que no correrán los plazos de algunos procedimientos </w:t>
      </w:r>
      <w:r w:rsidRPr="0078655A">
        <w:rPr>
          <w:rFonts w:ascii="Arial" w:eastAsia="Times New Roman" w:hAnsi="Arial" w:cs="Arial"/>
          <w:i/>
          <w:iCs/>
          <w:color w:val="2F2F2F"/>
          <w:sz w:val="18"/>
          <w:szCs w:val="18"/>
          <w:lang w:eastAsia="es-MX"/>
        </w:rPr>
        <w:lastRenderedPageBreak/>
        <w:t>tramitados ante la Comisión Federal de Competencia Económica</w:t>
      </w:r>
      <w:r w:rsidRPr="0078655A">
        <w:rPr>
          <w:rFonts w:ascii="Arial" w:eastAsia="Times New Roman" w:hAnsi="Arial" w:cs="Arial"/>
          <w:color w:val="2F2F2F"/>
          <w:sz w:val="18"/>
          <w:szCs w:val="18"/>
          <w:lang w:eastAsia="es-MX"/>
        </w:rPr>
        <w:t>"; el once de diciembre de dos mil veinte se publicó en el DOF el "</w:t>
      </w:r>
      <w:r w:rsidRPr="0078655A">
        <w:rPr>
          <w:rFonts w:ascii="Arial" w:eastAsia="Times New Roman" w:hAnsi="Arial" w:cs="Arial"/>
          <w:i/>
          <w:iCs/>
          <w:color w:val="2F2F2F"/>
          <w:sz w:val="18"/>
          <w:szCs w:val="18"/>
          <w:lang w:eastAsia="es-MX"/>
        </w:rPr>
        <w:t>Acuerdo mediante el cual el Pleno resuelve que ciertos días serán inhábiles y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el quince de enero de dos mil veintiuno se publicó en el DOF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y el veintiséis de enero de dos mil veintiuno, se emitió el "</w:t>
      </w:r>
      <w:r w:rsidRPr="0078655A">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78655A">
        <w:rPr>
          <w:rFonts w:ascii="Arial" w:eastAsia="Times New Roman" w:hAnsi="Arial" w:cs="Arial"/>
          <w:color w:val="2F2F2F"/>
          <w:sz w:val="18"/>
          <w:szCs w:val="18"/>
          <w:lang w:eastAsia="es-MX"/>
        </w:rPr>
        <w:t>", publicado en el DOF el veintinueve de enero de dos mil veintiuno.</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8.</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Derivado de la aparición de la variante de la COVID-19 conocida como "</w:t>
      </w:r>
      <w:proofErr w:type="spellStart"/>
      <w:r w:rsidRPr="0078655A">
        <w:rPr>
          <w:rFonts w:ascii="Arial" w:eastAsia="Times New Roman" w:hAnsi="Arial" w:cs="Arial"/>
          <w:i/>
          <w:iCs/>
          <w:color w:val="2F2F2F"/>
          <w:sz w:val="18"/>
          <w:szCs w:val="18"/>
          <w:lang w:eastAsia="es-MX"/>
        </w:rPr>
        <w:t>Ómicron</w:t>
      </w:r>
      <w:proofErr w:type="spellEnd"/>
      <w:r w:rsidRPr="0078655A">
        <w:rPr>
          <w:rFonts w:ascii="Arial" w:eastAsia="Times New Roman" w:hAnsi="Arial" w:cs="Arial"/>
          <w:i/>
          <w:iCs/>
          <w:color w:val="2F2F2F"/>
          <w:sz w:val="18"/>
          <w:szCs w:val="18"/>
          <w:lang w:eastAsia="es-MX"/>
        </w:rPr>
        <w:t xml:space="preserve"> (B.1.1.529) del SARS-CoV-2</w:t>
      </w:r>
      <w:r w:rsidRPr="0078655A">
        <w:rPr>
          <w:rFonts w:ascii="Arial" w:eastAsia="Times New Roman" w:hAnsi="Arial" w:cs="Arial"/>
          <w:color w:val="2F2F2F"/>
          <w:sz w:val="18"/>
          <w:szCs w:val="18"/>
          <w:lang w:eastAsia="es-MX"/>
        </w:rPr>
        <w:t>", misma que se ha considerado como una variante preocupante,(6) y sobre todo, con un alto nivel de transmisión y propagación mayor al de las variantes previas e (incluyendo vacunados y no vacunados),(7) los contagios diarios han aumentado exponencialmente a nivel mundial, con lo cual se corre el riesgo de desbordar los sistemas de salud.(8) En el territorio nacional, en materia de contagios se han superado los niveles existentes en enero de dos mil veintiuno. Así, se tiene información de que, del tres al siete de enero de dos mil veintidós, existieron al menos ciento diez mil casos confirmados en territorio nacional. En la Ciudad de México se han registrado en esos cinco días veintinueve mil contagios</w:t>
      </w:r>
      <w:proofErr w:type="gramStart"/>
      <w:r w:rsidRPr="0078655A">
        <w:rPr>
          <w:rFonts w:ascii="Arial" w:eastAsia="Times New Roman" w:hAnsi="Arial" w:cs="Arial"/>
          <w:color w:val="2F2F2F"/>
          <w:sz w:val="18"/>
          <w:szCs w:val="18"/>
          <w:lang w:eastAsia="es-MX"/>
        </w:rPr>
        <w:t>.(</w:t>
      </w:r>
      <w:proofErr w:type="gramEnd"/>
      <w:r w:rsidRPr="0078655A">
        <w:rPr>
          <w:rFonts w:ascii="Arial" w:eastAsia="Times New Roman" w:hAnsi="Arial" w:cs="Arial"/>
          <w:color w:val="2F2F2F"/>
          <w:sz w:val="18"/>
          <w:szCs w:val="18"/>
          <w:lang w:eastAsia="es-MX"/>
        </w:rPr>
        <w:t>9)</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9.</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La información interna de la Comisión también presenta y evidencia un aumento significativo en la transmisión y propagación del virus, así como el número de casos confirmados o sospechosos que requieren protocolos de prevención. Tan solo en los primeros días de enero de dos mil veintidós se registró un aumento de cuarenta y tres por ciento (43%) en los casos positivos con respecto a enero de dos mil veintiuno. Asimismo, ha aumentado en un sesenta y siete por ciento (67%) el número de personas que se encuentran en aislamiento preventivo.</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10.</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De esta forma, se considera que existen riesgos de contagio y a la salud de los servidores públicos de la Comisión y de las personas con las que podrían interactuar en el desahogo y trámite de ciertos procedimientos de esta Comisión, y que son similares a los que dieron lugar a los acuerdos señalados en el numeral 7 anterior. Particularmente, se considera la situación por la que atraviesa la Ciudad de México, en la cual los casos confirmados son los más altos que se han observado, de conformidad con la información oficial disponible, y en la cual tiene su domicilio la Comisión; y</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11.</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Dada la situación señalada, se estima necesario decretar que no correrán los plazos de algunos procedimientos tramitados ante la Comisión Federal de Competencia Económica en los que la interacción social pueda ser mayor y pueda incrementar el riesgo de transmisión del virus. En este aspecto, existen diversas etapas procesales o procedimientos tramitados ante la Comisión cuyo desahogo implica un contacto social limitado, por lo que es reducido el contacto que podría haber por parte de los servidores públicos entre sí y con representantes y autorizados de agentes económicos. Asimismo, los procedimientos de notificación de concentraciones, opinión sobre bases y documentos</w:t>
      </w:r>
    </w:p>
    <w:p w:rsidR="0078655A" w:rsidRPr="0078655A" w:rsidRDefault="0078655A" w:rsidP="0078655A">
      <w:pPr>
        <w:shd w:val="clear" w:color="auto" w:fill="FFFFFF"/>
        <w:spacing w:after="101" w:line="240" w:lineRule="auto"/>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de concursos públicos y opinión sobre participantes en estos concursos, opinión sobre nuevas 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además, el procedimiento de notificación de concentraciones actualmente se lleva a cabo de manera electrónica, con lo cual no propicia el contacto de servidores públicos con los representantes legales y autorizados de los agentes económicos que las tramiten. En ese sentido se considera que en los casos en los que la interacción social sea limitada, los plazos podrán seguir corriendo conforme a las reglas que se establecen en este acuerdo, según el punto de acuerdo cuarto, más adelante.</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Por tanto, el Pleno de esta Comisión:</w:t>
      </w:r>
    </w:p>
    <w:p w:rsidR="0078655A" w:rsidRPr="0078655A" w:rsidRDefault="0078655A" w:rsidP="007865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8655A">
        <w:rPr>
          <w:rFonts w:ascii="Times" w:eastAsia="Times New Roman" w:hAnsi="Times" w:cs="Times"/>
          <w:b/>
          <w:bCs/>
          <w:color w:val="2F2F2F"/>
          <w:sz w:val="18"/>
          <w:szCs w:val="18"/>
          <w:lang w:eastAsia="es-MX"/>
        </w:rPr>
        <w:t>ACUERDA:</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b/>
          <w:bCs/>
          <w:smallCaps/>
          <w:color w:val="2F2F2F"/>
          <w:sz w:val="18"/>
          <w:szCs w:val="18"/>
          <w:lang w:eastAsia="es-MX"/>
        </w:rPr>
        <w:t>Primero.</w:t>
      </w:r>
      <w:r w:rsidRPr="0078655A">
        <w:rPr>
          <w:rFonts w:ascii="Arial" w:eastAsia="Times New Roman" w:hAnsi="Arial" w:cs="Arial"/>
          <w:color w:val="2F2F2F"/>
          <w:sz w:val="18"/>
          <w:szCs w:val="18"/>
          <w:lang w:eastAsia="es-MX"/>
        </w:rPr>
        <w:t> En aras de propiciar el oportuno desahogo de la mayor parte de los procedimientos tramitados en la Comisión, al tiempo que se procura reducir el contacto entre personas que pudiera suscitarse derivado de tal desahogo, se determina que durante un plazo de diez días hábiles contados a partir de la publicación en el DOF del presente acuerdo, los días serán laborables, pero no correrán los plazos ni términos de los procedimientos tramitados ante la Comisión, salvo en los casos señalados en el punto de acuerdo cuarto siguiente, sin que ello derive en el cierre de las oficinas de la Comisión, las que mantendrán un horario de atención ordinario, sin perjuicio de las medidas sanitarias que resulten aplicables y se consideren pertinentes para mitigar el riesgo de propagación del virus.</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b/>
          <w:bCs/>
          <w:smallCaps/>
          <w:color w:val="2F2F2F"/>
          <w:sz w:val="18"/>
          <w:szCs w:val="18"/>
          <w:lang w:eastAsia="es-MX"/>
        </w:rPr>
        <w:t>Segundo</w:t>
      </w:r>
      <w:r w:rsidRPr="0078655A">
        <w:rPr>
          <w:rFonts w:ascii="Arial" w:eastAsia="Times New Roman" w:hAnsi="Arial" w:cs="Arial"/>
          <w:b/>
          <w:bCs/>
          <w:color w:val="2F2F2F"/>
          <w:sz w:val="18"/>
          <w:szCs w:val="18"/>
          <w:lang w:eastAsia="es-MX"/>
        </w:rPr>
        <w:t>.</w:t>
      </w:r>
      <w:r w:rsidRPr="0078655A">
        <w:rPr>
          <w:rFonts w:ascii="Arial" w:eastAsia="Times New Roman" w:hAnsi="Arial" w:cs="Arial"/>
          <w:color w:val="2F2F2F"/>
          <w:sz w:val="18"/>
          <w:szCs w:val="18"/>
          <w:lang w:eastAsia="es-MX"/>
        </w:rPr>
        <w:t> Lo dispuesto en este acuerdo aplica sin perjuicio de lo establecido en el "</w:t>
      </w:r>
      <w:r w:rsidRPr="0078655A">
        <w:rPr>
          <w:rFonts w:ascii="Arial" w:eastAsia="Times New Roman" w:hAnsi="Arial" w:cs="Arial"/>
          <w:i/>
          <w:iCs/>
          <w:color w:val="2F2F2F"/>
          <w:sz w:val="18"/>
          <w:szCs w:val="18"/>
          <w:lang w:eastAsia="es-MX"/>
        </w:rPr>
        <w:t>ACUERDO mediante el cual la Comisión Federal de Competencia Económica da a conocer el calendario anual de labores para el año dos mil veintidós</w:t>
      </w:r>
      <w:r w:rsidRPr="0078655A">
        <w:rPr>
          <w:rFonts w:ascii="Arial" w:eastAsia="Times New Roman" w:hAnsi="Arial" w:cs="Arial"/>
          <w:color w:val="2F2F2F"/>
          <w:sz w:val="18"/>
          <w:szCs w:val="18"/>
          <w:lang w:eastAsia="es-MX"/>
        </w:rPr>
        <w:t>", publicado en el DOF el siete de diciembre de dos mil veintiuno.</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b/>
          <w:bCs/>
          <w:smallCaps/>
          <w:color w:val="2F2F2F"/>
          <w:sz w:val="18"/>
          <w:szCs w:val="18"/>
          <w:lang w:eastAsia="es-MX"/>
        </w:rPr>
        <w:lastRenderedPageBreak/>
        <w:t>Tercero.</w:t>
      </w:r>
      <w:r w:rsidRPr="0078655A">
        <w:rPr>
          <w:rFonts w:ascii="Arial" w:eastAsia="Times New Roman" w:hAnsi="Arial" w:cs="Arial"/>
          <w:color w:val="2F2F2F"/>
          <w:sz w:val="18"/>
          <w:szCs w:val="18"/>
          <w:lang w:eastAsia="es-MX"/>
        </w:rPr>
        <w:t> Las promociones que se reciban durante el plazo de diez días señalado en el punto de acuerdo primero anterior, respecto de los procedimientos señalados en el mismo punto de acuerdo, se entenderán presentadas el día hábil siguiente al vencimiento de dicho plazo.</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b/>
          <w:bCs/>
          <w:smallCaps/>
          <w:color w:val="2F2F2F"/>
          <w:sz w:val="18"/>
          <w:szCs w:val="18"/>
          <w:lang w:eastAsia="es-MX"/>
        </w:rPr>
        <w:t>Cuarto. </w:t>
      </w:r>
      <w:r w:rsidRPr="0078655A">
        <w:rPr>
          <w:rFonts w:ascii="Arial" w:eastAsia="Times New Roman" w:hAnsi="Arial" w:cs="Arial"/>
          <w:color w:val="2F2F2F"/>
          <w:sz w:val="18"/>
          <w:szCs w:val="18"/>
          <w:lang w:eastAsia="es-MX"/>
        </w:rPr>
        <w:t>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A.</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Los procedimientos que se tramiten con fundamento en los artículos 90, 92, 98 y 99 de la LFCE, así como 111, 112, 113,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1, 113</w:t>
      </w:r>
      <w:r w:rsidRPr="0078655A">
        <w:rPr>
          <w:rFonts w:ascii="Arial" w:eastAsia="Times New Roman" w:hAnsi="Arial" w:cs="Arial"/>
          <w:smallCaps/>
          <w:color w:val="2F2F2F"/>
          <w:sz w:val="18"/>
          <w:szCs w:val="18"/>
          <w:lang w:eastAsia="es-MX"/>
        </w:rPr>
        <w:t> bis</w:t>
      </w:r>
      <w:r w:rsidRPr="0078655A">
        <w:rPr>
          <w:rFonts w:ascii="Arial" w:eastAsia="Times New Roman" w:hAnsi="Arial" w:cs="Arial"/>
          <w:color w:val="2F2F2F"/>
          <w:sz w:val="18"/>
          <w:szCs w:val="18"/>
          <w:lang w:eastAsia="es-MX"/>
        </w:rPr>
        <w:t> 2,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3,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4,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5, 113 </w:t>
      </w:r>
      <w:r w:rsidRPr="0078655A">
        <w:rPr>
          <w:rFonts w:ascii="Arial" w:eastAsia="Times New Roman" w:hAnsi="Arial" w:cs="Arial"/>
          <w:smallCaps/>
          <w:color w:val="2F2F2F"/>
          <w:sz w:val="18"/>
          <w:szCs w:val="18"/>
          <w:lang w:eastAsia="es-MX"/>
        </w:rPr>
        <w:t>bis</w:t>
      </w:r>
      <w:r w:rsidRPr="0078655A">
        <w:rPr>
          <w:rFonts w:ascii="Arial" w:eastAsia="Times New Roman" w:hAnsi="Arial" w:cs="Arial"/>
          <w:color w:val="2F2F2F"/>
          <w:sz w:val="18"/>
          <w:szCs w:val="18"/>
          <w:lang w:eastAsia="es-MX"/>
        </w:rPr>
        <w:t> 6 y 133 de las Disposiciones Regulatorias de la LFCE (Disposiciones Regulatorias).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B.</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Los procedimientos correspondientes a las solicitudes de opinión formal, tramitados conforme a lo establecido en los artículos 104 a 109 de la LFCE y 141 a 147 de las Disposiciones Regulatorias.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C.</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Los procedimientos de orientación general, en términos del artículo 110 de la LFCE y 137 a 140 de las Disposiciones Regulatorias.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D.</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Las opiniones emitidas con fundamento en las fracciones XII, XIII, XIV, XV y XVIII del artículo 12 de la LFCE y tramitadas conforme a los artículos 148 a 150 de las Disposiciones Regulatorias.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E.</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Las consultas públicas realizadas en términos de los artículos 138 de la LFCE y 191 de las Disposiciones Regulatorias.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F.</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El procedimiento correspondiente al beneficio de la reducción de las sanciones establecido en la LFCE, tramitado en términos del artículo 103 de la LFCE, únicamente por lo que hace a la solicitud del beneficio, el acuerdo a través del cual se ordena informar la clave asignada al interesado, así como el informe de dicha clave a través del correo electrónico al solicitante.</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G.</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El procedimiento de beneficio de dispensa o reducción del importe de las multas establecidas en la LFCE, tramitado en términos de los artículos 100 a 102 de la LFCE. En este caso, correrán los</w:t>
      </w:r>
    </w:p>
    <w:p w:rsidR="0078655A" w:rsidRPr="0078655A" w:rsidRDefault="0078655A" w:rsidP="0078655A">
      <w:pPr>
        <w:shd w:val="clear" w:color="auto" w:fill="FFFFFF"/>
        <w:spacing w:after="101" w:line="240" w:lineRule="auto"/>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plazos desde la presentación de la solicitud correspondiente y hasta que sea notificada la resolución del Pleno a los interesados, así como los plazos para aceptar o no aceptar el beneficio señalado y hasta la notificación del acuerdo que recaiga a la aceptación o falta de aceptación correspondiente.</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H.</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El trámite y diligencias necesarias para desahogar las pruebas para mejor proveer que se hubieran ordenado, siempre y cuando dicho desahogo implique únicamente la presentación de documentos.</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I.</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En procedimientos incidentales o seguidos en forma de juicio, la citación para alegatos, los plazos para presentar alegatos, así como la emisión del acuerdo de integración del expediente.</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J.</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Las actuaciones tendientes al desahogo de la audiencia oral prevista en el artículo 83, fracción VI de la LFCE, cuando la Comisión considere que dicha audiencia puede llevarse a través de Medios electrónicos, en términos de las Disposiciones Regulatorias de la Ley Federal de Competencia Económica de emergencia sobre el uso de medios electrónicos en ciertos procedimientos tramitados ante la Comisión Federal de Competencia Económica, publicadas en el DOF el veinticinco de junio de dos mil veinte y reformadas mediante acuerdo publicado en el DOF el veintiuno de septiembre de dos mil veintiuno (</w:t>
      </w:r>
      <w:proofErr w:type="spellStart"/>
      <w:r w:rsidRPr="0078655A">
        <w:rPr>
          <w:rFonts w:ascii="Arial" w:eastAsia="Times New Roman" w:hAnsi="Arial" w:cs="Arial"/>
          <w:color w:val="2F2F2F"/>
          <w:sz w:val="18"/>
          <w:szCs w:val="18"/>
          <w:lang w:eastAsia="es-MX"/>
        </w:rPr>
        <w:t>DREs</w:t>
      </w:r>
      <w:proofErr w:type="spellEnd"/>
      <w:r w:rsidRPr="0078655A">
        <w:rPr>
          <w:rFonts w:ascii="Arial" w:eastAsia="Times New Roman" w:hAnsi="Arial" w:cs="Arial"/>
          <w:color w:val="2F2F2F"/>
          <w:sz w:val="18"/>
          <w:szCs w:val="18"/>
          <w:lang w:eastAsia="es-MX"/>
        </w:rPr>
        <w:t>).</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K.</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Los plazos para que el Pleno emita una resolución o un acuerdo en cualquier procedimiento, siempre y cuando el expediente ya se encuentre, en su caso, integrado, hasta la notificación de la resolución o del acuerdo correspondiente. En el caso del procedimiento seguido en forma de juicio, tendrá que haberse desahogado la audiencia oral prevista en el artículo 83, fracción VI de la LFCE cuando se hubiere solicitado o, en caso contrario, que haya transcurrido el plazo para solicitar dicha audiencia, salvo en el caso previsto en la letra J anterior.</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L.</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Los procedimientos para la interposición de medios de control constitucional en términos del artículo 20, fracción II y 95, segundo párrafo, de la LFCE, así como el procedimiento establecido en el artículo 5 de la LFCE.</w:t>
      </w:r>
    </w:p>
    <w:p w:rsidR="0078655A" w:rsidRPr="0078655A" w:rsidRDefault="0078655A" w:rsidP="0078655A">
      <w:pPr>
        <w:shd w:val="clear" w:color="auto" w:fill="FFFFFF"/>
        <w:spacing w:after="101" w:line="240" w:lineRule="auto"/>
        <w:ind w:hanging="432"/>
        <w:jc w:val="both"/>
        <w:rPr>
          <w:rFonts w:ascii="Arial" w:eastAsia="Times New Roman" w:hAnsi="Arial" w:cs="Arial"/>
          <w:color w:val="2F2F2F"/>
          <w:sz w:val="18"/>
          <w:szCs w:val="18"/>
          <w:lang w:eastAsia="es-MX"/>
        </w:rPr>
      </w:pPr>
      <w:r w:rsidRPr="0078655A">
        <w:rPr>
          <w:rFonts w:ascii="Arial" w:eastAsia="Times New Roman" w:hAnsi="Arial" w:cs="Arial"/>
          <w:b/>
          <w:bCs/>
          <w:color w:val="2F2F2F"/>
          <w:sz w:val="18"/>
          <w:szCs w:val="18"/>
          <w:lang w:eastAsia="es-MX"/>
        </w:rPr>
        <w:t>M.</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8"/>
          <w:szCs w:val="18"/>
          <w:lang w:eastAsia="es-MX"/>
        </w:rPr>
        <w:t xml:space="preserve">Cualquier procedimiento en el que todas las personas con interés jurídico en el procedimiento manifiesten o hayan manifestado su voluntad para utilizar Medios electrónicos para la notificación y el desahogo de actuaciones en el expediente que corresponda en términos de las </w:t>
      </w:r>
      <w:proofErr w:type="spellStart"/>
      <w:r w:rsidRPr="0078655A">
        <w:rPr>
          <w:rFonts w:ascii="Arial" w:eastAsia="Times New Roman" w:hAnsi="Arial" w:cs="Arial"/>
          <w:color w:val="2F2F2F"/>
          <w:sz w:val="18"/>
          <w:szCs w:val="18"/>
          <w:lang w:eastAsia="es-MX"/>
        </w:rPr>
        <w:t>DREs.</w:t>
      </w:r>
      <w:proofErr w:type="spellEnd"/>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b/>
          <w:bCs/>
          <w:smallCaps/>
          <w:color w:val="2F2F2F"/>
          <w:sz w:val="18"/>
          <w:szCs w:val="18"/>
          <w:lang w:eastAsia="es-MX"/>
        </w:rPr>
        <w:t>Quinto</w:t>
      </w:r>
      <w:r w:rsidRPr="0078655A">
        <w:rPr>
          <w:rFonts w:ascii="Arial" w:eastAsia="Times New Roman" w:hAnsi="Arial" w:cs="Arial"/>
          <w:b/>
          <w:bCs/>
          <w:color w:val="2F2F2F"/>
          <w:sz w:val="18"/>
          <w:szCs w:val="18"/>
          <w:lang w:eastAsia="es-MX"/>
        </w:rPr>
        <w:t>. </w:t>
      </w:r>
      <w:r w:rsidRPr="0078655A">
        <w:rPr>
          <w:rFonts w:ascii="Arial" w:eastAsia="Times New Roman" w:hAnsi="Arial" w:cs="Arial"/>
          <w:color w:val="2F2F2F"/>
          <w:sz w:val="18"/>
          <w:szCs w:val="18"/>
          <w:lang w:eastAsia="es-MX"/>
        </w:rPr>
        <w:t>Publíquese el presente acuerdo en el DOF y en la página de Internet de la Comisión.</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 xml:space="preserve">Así lo acordó, por unanimidad de votos, el Pleno de esta Comisión, en la sesión excepcional de mérito; de conformidad con los artículos citados a lo largo del presente acuerdo, y ante la fe del Secretario </w:t>
      </w:r>
      <w:r w:rsidRPr="0078655A">
        <w:rPr>
          <w:rFonts w:ascii="Arial" w:eastAsia="Times New Roman" w:hAnsi="Arial" w:cs="Arial"/>
          <w:color w:val="2F2F2F"/>
          <w:sz w:val="18"/>
          <w:szCs w:val="18"/>
          <w:lang w:eastAsia="es-MX"/>
        </w:rPr>
        <w:lastRenderedPageBreak/>
        <w:t>Técnico, de conformidad con los artículos 2, fracción VIII; 4, fracción IV; 18, 19, 20, fracciones XXVI, XXVII y LVI, del Estatuto.</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 xml:space="preserve">Comisionada Presidenta en suplencia por </w:t>
      </w:r>
      <w:proofErr w:type="gramStart"/>
      <w:r w:rsidRPr="0078655A">
        <w:rPr>
          <w:rFonts w:ascii="Arial" w:eastAsia="Times New Roman" w:hAnsi="Arial" w:cs="Arial"/>
          <w:color w:val="2F2F2F"/>
          <w:sz w:val="18"/>
          <w:szCs w:val="18"/>
          <w:lang w:eastAsia="es-MX"/>
        </w:rPr>
        <w:t>vacancia(</w:t>
      </w:r>
      <w:proofErr w:type="gramEnd"/>
      <w:r w:rsidRPr="0078655A">
        <w:rPr>
          <w:rFonts w:ascii="Arial" w:eastAsia="Times New Roman" w:hAnsi="Arial" w:cs="Arial"/>
          <w:color w:val="2F2F2F"/>
          <w:sz w:val="18"/>
          <w:szCs w:val="18"/>
          <w:lang w:eastAsia="es-MX"/>
        </w:rPr>
        <w:t>10), </w:t>
      </w:r>
      <w:r w:rsidRPr="0078655A">
        <w:rPr>
          <w:rFonts w:ascii="Arial" w:eastAsia="Times New Roman" w:hAnsi="Arial" w:cs="Arial"/>
          <w:b/>
          <w:bCs/>
          <w:color w:val="2F2F2F"/>
          <w:sz w:val="18"/>
          <w:szCs w:val="18"/>
          <w:lang w:eastAsia="es-MX"/>
        </w:rPr>
        <w:t>Brenda Gisela Hernández Ramírez</w:t>
      </w:r>
      <w:r w:rsidRPr="0078655A">
        <w:rPr>
          <w:rFonts w:ascii="Arial" w:eastAsia="Times New Roman" w:hAnsi="Arial" w:cs="Arial"/>
          <w:color w:val="2F2F2F"/>
          <w:sz w:val="18"/>
          <w:szCs w:val="18"/>
          <w:lang w:eastAsia="es-MX"/>
        </w:rPr>
        <w:t>.- Rúbrica.- Comisionados: </w:t>
      </w:r>
      <w:r w:rsidRPr="0078655A">
        <w:rPr>
          <w:rFonts w:ascii="Arial" w:eastAsia="Times New Roman" w:hAnsi="Arial" w:cs="Arial"/>
          <w:b/>
          <w:bCs/>
          <w:color w:val="2F2F2F"/>
          <w:sz w:val="18"/>
          <w:szCs w:val="18"/>
          <w:lang w:eastAsia="es-MX"/>
        </w:rPr>
        <w:t>Alejandro Faya Rodríguez</w:t>
      </w:r>
      <w:r w:rsidRPr="0078655A">
        <w:rPr>
          <w:rFonts w:ascii="Arial" w:eastAsia="Times New Roman" w:hAnsi="Arial" w:cs="Arial"/>
          <w:color w:val="2F2F2F"/>
          <w:sz w:val="18"/>
          <w:szCs w:val="18"/>
          <w:lang w:eastAsia="es-MX"/>
        </w:rPr>
        <w:t>, </w:t>
      </w:r>
      <w:r w:rsidRPr="0078655A">
        <w:rPr>
          <w:rFonts w:ascii="Arial" w:eastAsia="Times New Roman" w:hAnsi="Arial" w:cs="Arial"/>
          <w:b/>
          <w:bCs/>
          <w:color w:val="2F2F2F"/>
          <w:sz w:val="18"/>
          <w:szCs w:val="18"/>
          <w:lang w:eastAsia="es-MX"/>
        </w:rPr>
        <w:t>José Eduardo Mendoza Contreras, Ana María Reséndiz Mora</w:t>
      </w:r>
      <w:r w:rsidRPr="0078655A">
        <w:rPr>
          <w:rFonts w:ascii="Arial" w:eastAsia="Times New Roman" w:hAnsi="Arial" w:cs="Arial"/>
          <w:color w:val="2F2F2F"/>
          <w:sz w:val="18"/>
          <w:szCs w:val="18"/>
          <w:lang w:eastAsia="es-MX"/>
        </w:rPr>
        <w:t>.- Rúbricas.- Secretario Técnico, </w:t>
      </w:r>
      <w:r w:rsidRPr="0078655A">
        <w:rPr>
          <w:rFonts w:ascii="Arial" w:eastAsia="Times New Roman" w:hAnsi="Arial" w:cs="Arial"/>
          <w:b/>
          <w:bCs/>
          <w:color w:val="2F2F2F"/>
          <w:sz w:val="18"/>
          <w:szCs w:val="18"/>
          <w:lang w:eastAsia="es-MX"/>
        </w:rPr>
        <w:t>Fidel Gerardo Sierra Aranda</w:t>
      </w:r>
      <w:r w:rsidRPr="0078655A">
        <w:rPr>
          <w:rFonts w:ascii="Arial" w:eastAsia="Times New Roman" w:hAnsi="Arial" w:cs="Arial"/>
          <w:color w:val="2F2F2F"/>
          <w:sz w:val="18"/>
          <w:szCs w:val="18"/>
          <w:lang w:eastAsia="es-MX"/>
        </w:rPr>
        <w:t>.- Rúbrica.</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8"/>
          <w:szCs w:val="18"/>
          <w:lang w:eastAsia="es-MX"/>
        </w:rPr>
      </w:pPr>
      <w:r w:rsidRPr="0078655A">
        <w:rPr>
          <w:rFonts w:ascii="Arial" w:eastAsia="Times New Roman" w:hAnsi="Arial" w:cs="Arial"/>
          <w:color w:val="2F2F2F"/>
          <w:sz w:val="18"/>
          <w:szCs w:val="18"/>
          <w:lang w:eastAsia="es-MX"/>
        </w:rPr>
        <w:t> </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1</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Emitido por el Pleno de esta Comisión el veintiséis de marzo de dos mil veinte, publicado en el Diario Oficial de la Federación el treinta y uno de marzo de dos mil veinte.</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2</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publicada en la siguiente dirección del Gobierno Federal: https://www.gob.mx/cms/uploads/attachment/file/541794/AE_Enfermedad_COVID-19_SARS-CoV-2_2020.03.17.pdf.</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3</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publicada en la siguiente dirección del Gobierno Federal: https://coronavirus.gob.mx/covid-19/.</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4</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dirección señalada en el pie de página 2.</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5</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disponible en las siguientes páginas de Internet:</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1) https://www.gob.mx/salud/documentos/informacion-para-personal-de-salud.</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2) https</w:t>
      </w:r>
      <w:proofErr w:type="gramStart"/>
      <w:r w:rsidRPr="0078655A">
        <w:rPr>
          <w:rFonts w:ascii="Arial" w:eastAsia="Times New Roman" w:hAnsi="Arial" w:cs="Arial"/>
          <w:color w:val="2F2F2F"/>
          <w:sz w:val="16"/>
          <w:szCs w:val="16"/>
          <w:lang w:eastAsia="es-MX"/>
        </w:rPr>
        <w:t>:/</w:t>
      </w:r>
      <w:proofErr w:type="gramEnd"/>
      <w:r w:rsidRPr="0078655A">
        <w:rPr>
          <w:rFonts w:ascii="Arial" w:eastAsia="Times New Roman" w:hAnsi="Arial" w:cs="Arial"/>
          <w:color w:val="2F2F2F"/>
          <w:sz w:val="16"/>
          <w:szCs w:val="16"/>
          <w:lang w:eastAsia="es-MX"/>
        </w:rPr>
        <w:t>/drive.google.com/file/d/1vge89Fuz_9RsgKk77XrpyG2RYW7NAGFP/view, y</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3) https://drive.google.com/file/d/1WjSrb0O-TxQLDWng98AcXeKMklUcoUZp/view</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6</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disponible en: https://www.who.int/es/news/item/26-11-2021-classification-of-omicron-</w:t>
      </w:r>
    </w:p>
    <w:p w:rsidR="0078655A" w:rsidRPr="0078655A" w:rsidRDefault="0078655A" w:rsidP="0078655A">
      <w:pPr>
        <w:shd w:val="clear" w:color="auto" w:fill="FFFFFF"/>
        <w:spacing w:after="101" w:line="240" w:lineRule="auto"/>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(b.1.1.529)-sars-cov-2-variant-of-concern.</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7</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publicada en la siguiente dirección de las Naciones Unidas: https://news.un.org/es/story/2021/12/1501772.</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8</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disponible en: https://coronavirus.onu.org.mx/omicron-esta-ocasionando-un-tsunami-de-casos-de-covid-19-oms.</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9</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Véase la información disponible en: https://datos.covid-19.conacyt.mx/#DownZCSV.</w:t>
      </w:r>
    </w:p>
    <w:p w:rsidR="0078655A" w:rsidRPr="0078655A" w:rsidRDefault="0078655A" w:rsidP="0078655A">
      <w:pPr>
        <w:shd w:val="clear" w:color="auto" w:fill="FFFFFF"/>
        <w:spacing w:after="101" w:line="240" w:lineRule="auto"/>
        <w:ind w:firstLine="288"/>
        <w:jc w:val="both"/>
        <w:rPr>
          <w:rFonts w:ascii="Arial" w:eastAsia="Times New Roman" w:hAnsi="Arial" w:cs="Arial"/>
          <w:color w:val="2F2F2F"/>
          <w:sz w:val="16"/>
          <w:szCs w:val="16"/>
          <w:lang w:eastAsia="es-MX"/>
        </w:rPr>
      </w:pPr>
      <w:r w:rsidRPr="0078655A">
        <w:rPr>
          <w:rFonts w:ascii="Arial" w:eastAsia="Times New Roman" w:hAnsi="Arial" w:cs="Arial"/>
          <w:color w:val="2F2F2F"/>
          <w:sz w:val="16"/>
          <w:szCs w:val="16"/>
          <w:lang w:eastAsia="es-MX"/>
        </w:rPr>
        <w:t>10</w:t>
      </w:r>
      <w:r w:rsidRPr="0078655A">
        <w:rPr>
          <w:rFonts w:ascii="Arial" w:eastAsia="Times New Roman" w:hAnsi="Arial" w:cs="Arial"/>
          <w:color w:val="2F2F2F"/>
          <w:sz w:val="20"/>
          <w:szCs w:val="20"/>
          <w:lang w:eastAsia="es-MX"/>
        </w:rPr>
        <w:t>    </w:t>
      </w:r>
      <w:r w:rsidRPr="0078655A">
        <w:rPr>
          <w:rFonts w:ascii="Arial" w:eastAsia="Times New Roman" w:hAnsi="Arial" w:cs="Arial"/>
          <w:color w:val="2F2F2F"/>
          <w:sz w:val="16"/>
          <w:szCs w:val="16"/>
          <w:lang w:eastAsia="es-MX"/>
        </w:rPr>
        <w:t>En términos del artículo 19 de la LFCE.</w:t>
      </w:r>
    </w:p>
    <w:p w:rsidR="0078655A" w:rsidRDefault="0078655A" w:rsidP="0078655A">
      <w:pPr>
        <w:jc w:val="both"/>
      </w:pPr>
    </w:p>
    <w:sectPr w:rsidR="00786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A"/>
    <w:rsid w:val="0078655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4146">
      <w:bodyDiv w:val="1"/>
      <w:marLeft w:val="0"/>
      <w:marRight w:val="0"/>
      <w:marTop w:val="0"/>
      <w:marBottom w:val="0"/>
      <w:divBdr>
        <w:top w:val="none" w:sz="0" w:space="0" w:color="auto"/>
        <w:left w:val="none" w:sz="0" w:space="0" w:color="auto"/>
        <w:bottom w:val="none" w:sz="0" w:space="0" w:color="auto"/>
        <w:right w:val="none" w:sz="0" w:space="0" w:color="auto"/>
      </w:divBdr>
      <w:divsChild>
        <w:div w:id="1383401055">
          <w:marLeft w:val="0"/>
          <w:marRight w:val="0"/>
          <w:marTop w:val="101"/>
          <w:marBottom w:val="101"/>
          <w:divBdr>
            <w:top w:val="none" w:sz="0" w:space="0" w:color="auto"/>
            <w:left w:val="none" w:sz="0" w:space="0" w:color="auto"/>
            <w:bottom w:val="none" w:sz="0" w:space="0" w:color="auto"/>
            <w:right w:val="none" w:sz="0" w:space="0" w:color="auto"/>
          </w:divBdr>
        </w:div>
        <w:div w:id="1857690733">
          <w:marLeft w:val="0"/>
          <w:marRight w:val="0"/>
          <w:marTop w:val="0"/>
          <w:marBottom w:val="101"/>
          <w:divBdr>
            <w:top w:val="none" w:sz="0" w:space="0" w:color="auto"/>
            <w:left w:val="none" w:sz="0" w:space="0" w:color="auto"/>
            <w:bottom w:val="none" w:sz="0" w:space="0" w:color="auto"/>
            <w:right w:val="none" w:sz="0" w:space="0" w:color="auto"/>
          </w:divBdr>
        </w:div>
        <w:div w:id="600140308">
          <w:marLeft w:val="0"/>
          <w:marRight w:val="0"/>
          <w:marTop w:val="0"/>
          <w:marBottom w:val="101"/>
          <w:divBdr>
            <w:top w:val="none" w:sz="0" w:space="0" w:color="auto"/>
            <w:left w:val="none" w:sz="0" w:space="0" w:color="auto"/>
            <w:bottom w:val="none" w:sz="0" w:space="0" w:color="auto"/>
            <w:right w:val="none" w:sz="0" w:space="0" w:color="auto"/>
          </w:divBdr>
        </w:div>
        <w:div w:id="663509746">
          <w:marLeft w:val="0"/>
          <w:marRight w:val="0"/>
          <w:marTop w:val="101"/>
          <w:marBottom w:val="101"/>
          <w:divBdr>
            <w:top w:val="none" w:sz="0" w:space="0" w:color="auto"/>
            <w:left w:val="none" w:sz="0" w:space="0" w:color="auto"/>
            <w:bottom w:val="none" w:sz="0" w:space="0" w:color="auto"/>
            <w:right w:val="none" w:sz="0" w:space="0" w:color="auto"/>
          </w:divBdr>
        </w:div>
        <w:div w:id="255671802">
          <w:marLeft w:val="720"/>
          <w:marRight w:val="0"/>
          <w:marTop w:val="0"/>
          <w:marBottom w:val="101"/>
          <w:divBdr>
            <w:top w:val="none" w:sz="0" w:space="0" w:color="auto"/>
            <w:left w:val="none" w:sz="0" w:space="0" w:color="auto"/>
            <w:bottom w:val="none" w:sz="0" w:space="0" w:color="auto"/>
            <w:right w:val="none" w:sz="0" w:space="0" w:color="auto"/>
          </w:divBdr>
        </w:div>
        <w:div w:id="1292324738">
          <w:marLeft w:val="720"/>
          <w:marRight w:val="0"/>
          <w:marTop w:val="0"/>
          <w:marBottom w:val="101"/>
          <w:divBdr>
            <w:top w:val="none" w:sz="0" w:space="0" w:color="auto"/>
            <w:left w:val="none" w:sz="0" w:space="0" w:color="auto"/>
            <w:bottom w:val="none" w:sz="0" w:space="0" w:color="auto"/>
            <w:right w:val="none" w:sz="0" w:space="0" w:color="auto"/>
          </w:divBdr>
        </w:div>
        <w:div w:id="1439132167">
          <w:marLeft w:val="720"/>
          <w:marRight w:val="0"/>
          <w:marTop w:val="0"/>
          <w:marBottom w:val="101"/>
          <w:divBdr>
            <w:top w:val="none" w:sz="0" w:space="0" w:color="auto"/>
            <w:left w:val="none" w:sz="0" w:space="0" w:color="auto"/>
            <w:bottom w:val="none" w:sz="0" w:space="0" w:color="auto"/>
            <w:right w:val="none" w:sz="0" w:space="0" w:color="auto"/>
          </w:divBdr>
        </w:div>
        <w:div w:id="815145989">
          <w:marLeft w:val="720"/>
          <w:marRight w:val="0"/>
          <w:marTop w:val="0"/>
          <w:marBottom w:val="101"/>
          <w:divBdr>
            <w:top w:val="none" w:sz="0" w:space="0" w:color="auto"/>
            <w:left w:val="none" w:sz="0" w:space="0" w:color="auto"/>
            <w:bottom w:val="none" w:sz="0" w:space="0" w:color="auto"/>
            <w:right w:val="none" w:sz="0" w:space="0" w:color="auto"/>
          </w:divBdr>
        </w:div>
        <w:div w:id="1512531608">
          <w:marLeft w:val="720"/>
          <w:marRight w:val="0"/>
          <w:marTop w:val="0"/>
          <w:marBottom w:val="101"/>
          <w:divBdr>
            <w:top w:val="none" w:sz="0" w:space="0" w:color="auto"/>
            <w:left w:val="none" w:sz="0" w:space="0" w:color="auto"/>
            <w:bottom w:val="none" w:sz="0" w:space="0" w:color="auto"/>
            <w:right w:val="none" w:sz="0" w:space="0" w:color="auto"/>
          </w:divBdr>
        </w:div>
        <w:div w:id="1963802445">
          <w:marLeft w:val="720"/>
          <w:marRight w:val="0"/>
          <w:marTop w:val="0"/>
          <w:marBottom w:val="101"/>
          <w:divBdr>
            <w:top w:val="none" w:sz="0" w:space="0" w:color="auto"/>
            <w:left w:val="none" w:sz="0" w:space="0" w:color="auto"/>
            <w:bottom w:val="none" w:sz="0" w:space="0" w:color="auto"/>
            <w:right w:val="none" w:sz="0" w:space="0" w:color="auto"/>
          </w:divBdr>
        </w:div>
        <w:div w:id="174075150">
          <w:marLeft w:val="720"/>
          <w:marRight w:val="0"/>
          <w:marTop w:val="0"/>
          <w:marBottom w:val="101"/>
          <w:divBdr>
            <w:top w:val="none" w:sz="0" w:space="0" w:color="auto"/>
            <w:left w:val="none" w:sz="0" w:space="0" w:color="auto"/>
            <w:bottom w:val="none" w:sz="0" w:space="0" w:color="auto"/>
            <w:right w:val="none" w:sz="0" w:space="0" w:color="auto"/>
          </w:divBdr>
        </w:div>
        <w:div w:id="203056310">
          <w:marLeft w:val="720"/>
          <w:marRight w:val="0"/>
          <w:marTop w:val="0"/>
          <w:marBottom w:val="101"/>
          <w:divBdr>
            <w:top w:val="none" w:sz="0" w:space="0" w:color="auto"/>
            <w:left w:val="none" w:sz="0" w:space="0" w:color="auto"/>
            <w:bottom w:val="none" w:sz="0" w:space="0" w:color="auto"/>
            <w:right w:val="none" w:sz="0" w:space="0" w:color="auto"/>
          </w:divBdr>
        </w:div>
        <w:div w:id="1137868758">
          <w:marLeft w:val="720"/>
          <w:marRight w:val="0"/>
          <w:marTop w:val="0"/>
          <w:marBottom w:val="101"/>
          <w:divBdr>
            <w:top w:val="none" w:sz="0" w:space="0" w:color="auto"/>
            <w:left w:val="none" w:sz="0" w:space="0" w:color="auto"/>
            <w:bottom w:val="none" w:sz="0" w:space="0" w:color="auto"/>
            <w:right w:val="none" w:sz="0" w:space="0" w:color="auto"/>
          </w:divBdr>
        </w:div>
        <w:div w:id="1941831735">
          <w:marLeft w:val="720"/>
          <w:marRight w:val="0"/>
          <w:marTop w:val="0"/>
          <w:marBottom w:val="101"/>
          <w:divBdr>
            <w:top w:val="none" w:sz="0" w:space="0" w:color="auto"/>
            <w:left w:val="none" w:sz="0" w:space="0" w:color="auto"/>
            <w:bottom w:val="none" w:sz="0" w:space="0" w:color="auto"/>
            <w:right w:val="none" w:sz="0" w:space="0" w:color="auto"/>
          </w:divBdr>
        </w:div>
        <w:div w:id="1401825815">
          <w:marLeft w:val="720"/>
          <w:marRight w:val="0"/>
          <w:marTop w:val="0"/>
          <w:marBottom w:val="101"/>
          <w:divBdr>
            <w:top w:val="none" w:sz="0" w:space="0" w:color="auto"/>
            <w:left w:val="none" w:sz="0" w:space="0" w:color="auto"/>
            <w:bottom w:val="none" w:sz="0" w:space="0" w:color="auto"/>
            <w:right w:val="none" w:sz="0" w:space="0" w:color="auto"/>
          </w:divBdr>
        </w:div>
        <w:div w:id="1491872799">
          <w:marLeft w:val="720"/>
          <w:marRight w:val="0"/>
          <w:marTop w:val="0"/>
          <w:marBottom w:val="101"/>
          <w:divBdr>
            <w:top w:val="none" w:sz="0" w:space="0" w:color="auto"/>
            <w:left w:val="none" w:sz="0" w:space="0" w:color="auto"/>
            <w:bottom w:val="none" w:sz="0" w:space="0" w:color="auto"/>
            <w:right w:val="none" w:sz="0" w:space="0" w:color="auto"/>
          </w:divBdr>
        </w:div>
        <w:div w:id="637800648">
          <w:marLeft w:val="720"/>
          <w:marRight w:val="0"/>
          <w:marTop w:val="0"/>
          <w:marBottom w:val="101"/>
          <w:divBdr>
            <w:top w:val="none" w:sz="0" w:space="0" w:color="auto"/>
            <w:left w:val="none" w:sz="0" w:space="0" w:color="auto"/>
            <w:bottom w:val="none" w:sz="0" w:space="0" w:color="auto"/>
            <w:right w:val="none" w:sz="0" w:space="0" w:color="auto"/>
          </w:divBdr>
        </w:div>
        <w:div w:id="1480878520">
          <w:marLeft w:val="0"/>
          <w:marRight w:val="0"/>
          <w:marTop w:val="0"/>
          <w:marBottom w:val="101"/>
          <w:divBdr>
            <w:top w:val="none" w:sz="0" w:space="0" w:color="auto"/>
            <w:left w:val="none" w:sz="0" w:space="0" w:color="auto"/>
            <w:bottom w:val="none" w:sz="0" w:space="0" w:color="auto"/>
            <w:right w:val="none" w:sz="0" w:space="0" w:color="auto"/>
          </w:divBdr>
        </w:div>
        <w:div w:id="1291012574">
          <w:marLeft w:val="0"/>
          <w:marRight w:val="0"/>
          <w:marTop w:val="101"/>
          <w:marBottom w:val="101"/>
          <w:divBdr>
            <w:top w:val="none" w:sz="0" w:space="0" w:color="auto"/>
            <w:left w:val="none" w:sz="0" w:space="0" w:color="auto"/>
            <w:bottom w:val="none" w:sz="0" w:space="0" w:color="auto"/>
            <w:right w:val="none" w:sz="0" w:space="0" w:color="auto"/>
          </w:divBdr>
        </w:div>
        <w:div w:id="1691908041">
          <w:marLeft w:val="0"/>
          <w:marRight w:val="0"/>
          <w:marTop w:val="0"/>
          <w:marBottom w:val="101"/>
          <w:divBdr>
            <w:top w:val="none" w:sz="0" w:space="0" w:color="auto"/>
            <w:left w:val="none" w:sz="0" w:space="0" w:color="auto"/>
            <w:bottom w:val="none" w:sz="0" w:space="0" w:color="auto"/>
            <w:right w:val="none" w:sz="0" w:space="0" w:color="auto"/>
          </w:divBdr>
        </w:div>
        <w:div w:id="363288064">
          <w:marLeft w:val="0"/>
          <w:marRight w:val="0"/>
          <w:marTop w:val="0"/>
          <w:marBottom w:val="101"/>
          <w:divBdr>
            <w:top w:val="none" w:sz="0" w:space="0" w:color="auto"/>
            <w:left w:val="none" w:sz="0" w:space="0" w:color="auto"/>
            <w:bottom w:val="none" w:sz="0" w:space="0" w:color="auto"/>
            <w:right w:val="none" w:sz="0" w:space="0" w:color="auto"/>
          </w:divBdr>
        </w:div>
        <w:div w:id="1473867965">
          <w:marLeft w:val="0"/>
          <w:marRight w:val="0"/>
          <w:marTop w:val="0"/>
          <w:marBottom w:val="101"/>
          <w:divBdr>
            <w:top w:val="none" w:sz="0" w:space="0" w:color="auto"/>
            <w:left w:val="none" w:sz="0" w:space="0" w:color="auto"/>
            <w:bottom w:val="none" w:sz="0" w:space="0" w:color="auto"/>
            <w:right w:val="none" w:sz="0" w:space="0" w:color="auto"/>
          </w:divBdr>
        </w:div>
        <w:div w:id="930509131">
          <w:marLeft w:val="0"/>
          <w:marRight w:val="0"/>
          <w:marTop w:val="0"/>
          <w:marBottom w:val="101"/>
          <w:divBdr>
            <w:top w:val="none" w:sz="0" w:space="0" w:color="auto"/>
            <w:left w:val="none" w:sz="0" w:space="0" w:color="auto"/>
            <w:bottom w:val="none" w:sz="0" w:space="0" w:color="auto"/>
            <w:right w:val="none" w:sz="0" w:space="0" w:color="auto"/>
          </w:divBdr>
        </w:div>
        <w:div w:id="2008895018">
          <w:marLeft w:val="720"/>
          <w:marRight w:val="0"/>
          <w:marTop w:val="0"/>
          <w:marBottom w:val="101"/>
          <w:divBdr>
            <w:top w:val="none" w:sz="0" w:space="0" w:color="auto"/>
            <w:left w:val="none" w:sz="0" w:space="0" w:color="auto"/>
            <w:bottom w:val="none" w:sz="0" w:space="0" w:color="auto"/>
            <w:right w:val="none" w:sz="0" w:space="0" w:color="auto"/>
          </w:divBdr>
        </w:div>
        <w:div w:id="773398487">
          <w:marLeft w:val="720"/>
          <w:marRight w:val="0"/>
          <w:marTop w:val="0"/>
          <w:marBottom w:val="101"/>
          <w:divBdr>
            <w:top w:val="none" w:sz="0" w:space="0" w:color="auto"/>
            <w:left w:val="none" w:sz="0" w:space="0" w:color="auto"/>
            <w:bottom w:val="none" w:sz="0" w:space="0" w:color="auto"/>
            <w:right w:val="none" w:sz="0" w:space="0" w:color="auto"/>
          </w:divBdr>
        </w:div>
        <w:div w:id="99642485">
          <w:marLeft w:val="720"/>
          <w:marRight w:val="0"/>
          <w:marTop w:val="0"/>
          <w:marBottom w:val="101"/>
          <w:divBdr>
            <w:top w:val="none" w:sz="0" w:space="0" w:color="auto"/>
            <w:left w:val="none" w:sz="0" w:space="0" w:color="auto"/>
            <w:bottom w:val="none" w:sz="0" w:space="0" w:color="auto"/>
            <w:right w:val="none" w:sz="0" w:space="0" w:color="auto"/>
          </w:divBdr>
        </w:div>
        <w:div w:id="2105420432">
          <w:marLeft w:val="720"/>
          <w:marRight w:val="0"/>
          <w:marTop w:val="0"/>
          <w:marBottom w:val="101"/>
          <w:divBdr>
            <w:top w:val="none" w:sz="0" w:space="0" w:color="auto"/>
            <w:left w:val="none" w:sz="0" w:space="0" w:color="auto"/>
            <w:bottom w:val="none" w:sz="0" w:space="0" w:color="auto"/>
            <w:right w:val="none" w:sz="0" w:space="0" w:color="auto"/>
          </w:divBdr>
        </w:div>
        <w:div w:id="1575243304">
          <w:marLeft w:val="720"/>
          <w:marRight w:val="0"/>
          <w:marTop w:val="0"/>
          <w:marBottom w:val="101"/>
          <w:divBdr>
            <w:top w:val="none" w:sz="0" w:space="0" w:color="auto"/>
            <w:left w:val="none" w:sz="0" w:space="0" w:color="auto"/>
            <w:bottom w:val="none" w:sz="0" w:space="0" w:color="auto"/>
            <w:right w:val="none" w:sz="0" w:space="0" w:color="auto"/>
          </w:divBdr>
        </w:div>
        <w:div w:id="1777167902">
          <w:marLeft w:val="720"/>
          <w:marRight w:val="0"/>
          <w:marTop w:val="0"/>
          <w:marBottom w:val="101"/>
          <w:divBdr>
            <w:top w:val="none" w:sz="0" w:space="0" w:color="auto"/>
            <w:left w:val="none" w:sz="0" w:space="0" w:color="auto"/>
            <w:bottom w:val="none" w:sz="0" w:space="0" w:color="auto"/>
            <w:right w:val="none" w:sz="0" w:space="0" w:color="auto"/>
          </w:divBdr>
        </w:div>
        <w:div w:id="728262939">
          <w:marLeft w:val="720"/>
          <w:marRight w:val="0"/>
          <w:marTop w:val="0"/>
          <w:marBottom w:val="101"/>
          <w:divBdr>
            <w:top w:val="none" w:sz="0" w:space="0" w:color="auto"/>
            <w:left w:val="none" w:sz="0" w:space="0" w:color="auto"/>
            <w:bottom w:val="none" w:sz="0" w:space="0" w:color="auto"/>
            <w:right w:val="none" w:sz="0" w:space="0" w:color="auto"/>
          </w:divBdr>
        </w:div>
        <w:div w:id="1243687069">
          <w:marLeft w:val="720"/>
          <w:marRight w:val="0"/>
          <w:marTop w:val="0"/>
          <w:marBottom w:val="101"/>
          <w:divBdr>
            <w:top w:val="none" w:sz="0" w:space="0" w:color="auto"/>
            <w:left w:val="none" w:sz="0" w:space="0" w:color="auto"/>
            <w:bottom w:val="none" w:sz="0" w:space="0" w:color="auto"/>
            <w:right w:val="none" w:sz="0" w:space="0" w:color="auto"/>
          </w:divBdr>
        </w:div>
        <w:div w:id="875653279">
          <w:marLeft w:val="720"/>
          <w:marRight w:val="0"/>
          <w:marTop w:val="0"/>
          <w:marBottom w:val="101"/>
          <w:divBdr>
            <w:top w:val="none" w:sz="0" w:space="0" w:color="auto"/>
            <w:left w:val="none" w:sz="0" w:space="0" w:color="auto"/>
            <w:bottom w:val="none" w:sz="0" w:space="0" w:color="auto"/>
            <w:right w:val="none" w:sz="0" w:space="0" w:color="auto"/>
          </w:divBdr>
        </w:div>
        <w:div w:id="944381152">
          <w:marLeft w:val="720"/>
          <w:marRight w:val="0"/>
          <w:marTop w:val="0"/>
          <w:marBottom w:val="101"/>
          <w:divBdr>
            <w:top w:val="none" w:sz="0" w:space="0" w:color="auto"/>
            <w:left w:val="none" w:sz="0" w:space="0" w:color="auto"/>
            <w:bottom w:val="none" w:sz="0" w:space="0" w:color="auto"/>
            <w:right w:val="none" w:sz="0" w:space="0" w:color="auto"/>
          </w:divBdr>
        </w:div>
        <w:div w:id="1135610215">
          <w:marLeft w:val="720"/>
          <w:marRight w:val="0"/>
          <w:marTop w:val="0"/>
          <w:marBottom w:val="101"/>
          <w:divBdr>
            <w:top w:val="none" w:sz="0" w:space="0" w:color="auto"/>
            <w:left w:val="none" w:sz="0" w:space="0" w:color="auto"/>
            <w:bottom w:val="none" w:sz="0" w:space="0" w:color="auto"/>
            <w:right w:val="none" w:sz="0" w:space="0" w:color="auto"/>
          </w:divBdr>
        </w:div>
        <w:div w:id="885292711">
          <w:marLeft w:val="720"/>
          <w:marRight w:val="0"/>
          <w:marTop w:val="0"/>
          <w:marBottom w:val="101"/>
          <w:divBdr>
            <w:top w:val="none" w:sz="0" w:space="0" w:color="auto"/>
            <w:left w:val="none" w:sz="0" w:space="0" w:color="auto"/>
            <w:bottom w:val="none" w:sz="0" w:space="0" w:color="auto"/>
            <w:right w:val="none" w:sz="0" w:space="0" w:color="auto"/>
          </w:divBdr>
        </w:div>
        <w:div w:id="32928569">
          <w:marLeft w:val="720"/>
          <w:marRight w:val="0"/>
          <w:marTop w:val="0"/>
          <w:marBottom w:val="101"/>
          <w:divBdr>
            <w:top w:val="none" w:sz="0" w:space="0" w:color="auto"/>
            <w:left w:val="none" w:sz="0" w:space="0" w:color="auto"/>
            <w:bottom w:val="none" w:sz="0" w:space="0" w:color="auto"/>
            <w:right w:val="none" w:sz="0" w:space="0" w:color="auto"/>
          </w:divBdr>
        </w:div>
        <w:div w:id="2088720350">
          <w:marLeft w:val="720"/>
          <w:marRight w:val="0"/>
          <w:marTop w:val="0"/>
          <w:marBottom w:val="101"/>
          <w:divBdr>
            <w:top w:val="none" w:sz="0" w:space="0" w:color="auto"/>
            <w:left w:val="none" w:sz="0" w:space="0" w:color="auto"/>
            <w:bottom w:val="none" w:sz="0" w:space="0" w:color="auto"/>
            <w:right w:val="none" w:sz="0" w:space="0" w:color="auto"/>
          </w:divBdr>
        </w:div>
        <w:div w:id="2034459584">
          <w:marLeft w:val="0"/>
          <w:marRight w:val="0"/>
          <w:marTop w:val="0"/>
          <w:marBottom w:val="101"/>
          <w:divBdr>
            <w:top w:val="none" w:sz="0" w:space="0" w:color="auto"/>
            <w:left w:val="none" w:sz="0" w:space="0" w:color="auto"/>
            <w:bottom w:val="none" w:sz="0" w:space="0" w:color="auto"/>
            <w:right w:val="none" w:sz="0" w:space="0" w:color="auto"/>
          </w:divBdr>
        </w:div>
        <w:div w:id="1941907782">
          <w:marLeft w:val="0"/>
          <w:marRight w:val="0"/>
          <w:marTop w:val="0"/>
          <w:marBottom w:val="101"/>
          <w:divBdr>
            <w:top w:val="none" w:sz="0" w:space="0" w:color="auto"/>
            <w:left w:val="none" w:sz="0" w:space="0" w:color="auto"/>
            <w:bottom w:val="none" w:sz="0" w:space="0" w:color="auto"/>
            <w:right w:val="none" w:sz="0" w:space="0" w:color="auto"/>
          </w:divBdr>
        </w:div>
        <w:div w:id="2137407180">
          <w:marLeft w:val="0"/>
          <w:marRight w:val="0"/>
          <w:marTop w:val="0"/>
          <w:marBottom w:val="101"/>
          <w:divBdr>
            <w:top w:val="none" w:sz="0" w:space="0" w:color="auto"/>
            <w:left w:val="none" w:sz="0" w:space="0" w:color="auto"/>
            <w:bottom w:val="none" w:sz="0" w:space="0" w:color="auto"/>
            <w:right w:val="none" w:sz="0" w:space="0" w:color="auto"/>
          </w:divBdr>
        </w:div>
        <w:div w:id="950669883">
          <w:marLeft w:val="0"/>
          <w:marRight w:val="0"/>
          <w:marTop w:val="0"/>
          <w:marBottom w:val="101"/>
          <w:divBdr>
            <w:top w:val="none" w:sz="0" w:space="0" w:color="auto"/>
            <w:left w:val="none" w:sz="0" w:space="0" w:color="auto"/>
            <w:bottom w:val="none" w:sz="0" w:space="0" w:color="auto"/>
            <w:right w:val="none" w:sz="0" w:space="0" w:color="auto"/>
          </w:divBdr>
        </w:div>
        <w:div w:id="2089645643">
          <w:marLeft w:val="0"/>
          <w:marRight w:val="0"/>
          <w:marTop w:val="0"/>
          <w:marBottom w:val="101"/>
          <w:divBdr>
            <w:top w:val="none" w:sz="0" w:space="0" w:color="auto"/>
            <w:left w:val="none" w:sz="0" w:space="0" w:color="auto"/>
            <w:bottom w:val="none" w:sz="0" w:space="0" w:color="auto"/>
            <w:right w:val="none" w:sz="0" w:space="0" w:color="auto"/>
          </w:divBdr>
        </w:div>
        <w:div w:id="879054030">
          <w:marLeft w:val="0"/>
          <w:marRight w:val="0"/>
          <w:marTop w:val="0"/>
          <w:marBottom w:val="101"/>
          <w:divBdr>
            <w:top w:val="none" w:sz="0" w:space="0" w:color="auto"/>
            <w:left w:val="none" w:sz="0" w:space="0" w:color="auto"/>
            <w:bottom w:val="none" w:sz="0" w:space="0" w:color="auto"/>
            <w:right w:val="none" w:sz="0" w:space="0" w:color="auto"/>
          </w:divBdr>
        </w:div>
        <w:div w:id="196937588">
          <w:marLeft w:val="0"/>
          <w:marRight w:val="0"/>
          <w:marTop w:val="0"/>
          <w:marBottom w:val="101"/>
          <w:divBdr>
            <w:top w:val="none" w:sz="0" w:space="0" w:color="auto"/>
            <w:left w:val="none" w:sz="0" w:space="0" w:color="auto"/>
            <w:bottom w:val="none" w:sz="0" w:space="0" w:color="auto"/>
            <w:right w:val="none" w:sz="0" w:space="0" w:color="auto"/>
          </w:divBdr>
        </w:div>
        <w:div w:id="1751080475">
          <w:marLeft w:val="0"/>
          <w:marRight w:val="0"/>
          <w:marTop w:val="0"/>
          <w:marBottom w:val="101"/>
          <w:divBdr>
            <w:top w:val="none" w:sz="0" w:space="0" w:color="auto"/>
            <w:left w:val="none" w:sz="0" w:space="0" w:color="auto"/>
            <w:bottom w:val="none" w:sz="0" w:space="0" w:color="auto"/>
            <w:right w:val="none" w:sz="0" w:space="0" w:color="auto"/>
          </w:divBdr>
        </w:div>
        <w:div w:id="1374305904">
          <w:marLeft w:val="0"/>
          <w:marRight w:val="0"/>
          <w:marTop w:val="0"/>
          <w:marBottom w:val="101"/>
          <w:divBdr>
            <w:top w:val="none" w:sz="0" w:space="0" w:color="auto"/>
            <w:left w:val="none" w:sz="0" w:space="0" w:color="auto"/>
            <w:bottom w:val="none" w:sz="0" w:space="0" w:color="auto"/>
            <w:right w:val="none" w:sz="0" w:space="0" w:color="auto"/>
          </w:divBdr>
        </w:div>
        <w:div w:id="1528255717">
          <w:marLeft w:val="0"/>
          <w:marRight w:val="0"/>
          <w:marTop w:val="0"/>
          <w:marBottom w:val="101"/>
          <w:divBdr>
            <w:top w:val="none" w:sz="0" w:space="0" w:color="auto"/>
            <w:left w:val="none" w:sz="0" w:space="0" w:color="auto"/>
            <w:bottom w:val="none" w:sz="0" w:space="0" w:color="auto"/>
            <w:right w:val="none" w:sz="0" w:space="0" w:color="auto"/>
          </w:divBdr>
        </w:div>
        <w:div w:id="11610910">
          <w:marLeft w:val="0"/>
          <w:marRight w:val="0"/>
          <w:marTop w:val="0"/>
          <w:marBottom w:val="101"/>
          <w:divBdr>
            <w:top w:val="none" w:sz="0" w:space="0" w:color="auto"/>
            <w:left w:val="none" w:sz="0" w:space="0" w:color="auto"/>
            <w:bottom w:val="none" w:sz="0" w:space="0" w:color="auto"/>
            <w:right w:val="none" w:sz="0" w:space="0" w:color="auto"/>
          </w:divBdr>
        </w:div>
        <w:div w:id="718748640">
          <w:marLeft w:val="0"/>
          <w:marRight w:val="0"/>
          <w:marTop w:val="0"/>
          <w:marBottom w:val="101"/>
          <w:divBdr>
            <w:top w:val="none" w:sz="0" w:space="0" w:color="auto"/>
            <w:left w:val="none" w:sz="0" w:space="0" w:color="auto"/>
            <w:bottom w:val="none" w:sz="0" w:space="0" w:color="auto"/>
            <w:right w:val="none" w:sz="0" w:space="0" w:color="auto"/>
          </w:divBdr>
        </w:div>
        <w:div w:id="193622374">
          <w:marLeft w:val="0"/>
          <w:marRight w:val="0"/>
          <w:marTop w:val="0"/>
          <w:marBottom w:val="101"/>
          <w:divBdr>
            <w:top w:val="none" w:sz="0" w:space="0" w:color="auto"/>
            <w:left w:val="none" w:sz="0" w:space="0" w:color="auto"/>
            <w:bottom w:val="none" w:sz="0" w:space="0" w:color="auto"/>
            <w:right w:val="none" w:sz="0" w:space="0" w:color="auto"/>
          </w:divBdr>
        </w:div>
        <w:div w:id="116217823">
          <w:marLeft w:val="0"/>
          <w:marRight w:val="0"/>
          <w:marTop w:val="0"/>
          <w:marBottom w:val="101"/>
          <w:divBdr>
            <w:top w:val="none" w:sz="0" w:space="0" w:color="auto"/>
            <w:left w:val="none" w:sz="0" w:space="0" w:color="auto"/>
            <w:bottom w:val="none" w:sz="0" w:space="0" w:color="auto"/>
            <w:right w:val="none" w:sz="0" w:space="0" w:color="auto"/>
          </w:divBdr>
        </w:div>
        <w:div w:id="857699605">
          <w:marLeft w:val="0"/>
          <w:marRight w:val="0"/>
          <w:marTop w:val="0"/>
          <w:marBottom w:val="101"/>
          <w:divBdr>
            <w:top w:val="none" w:sz="0" w:space="0" w:color="auto"/>
            <w:left w:val="none" w:sz="0" w:space="0" w:color="auto"/>
            <w:bottom w:val="none" w:sz="0" w:space="0" w:color="auto"/>
            <w:right w:val="none" w:sz="0" w:space="0" w:color="auto"/>
          </w:divBdr>
        </w:div>
        <w:div w:id="1199928696">
          <w:marLeft w:val="0"/>
          <w:marRight w:val="0"/>
          <w:marTop w:val="0"/>
          <w:marBottom w:val="101"/>
          <w:divBdr>
            <w:top w:val="none" w:sz="0" w:space="0" w:color="auto"/>
            <w:left w:val="none" w:sz="0" w:space="0" w:color="auto"/>
            <w:bottom w:val="none" w:sz="0" w:space="0" w:color="auto"/>
            <w:right w:val="none" w:sz="0" w:space="0" w:color="auto"/>
          </w:divBdr>
        </w:div>
        <w:div w:id="645234546">
          <w:marLeft w:val="0"/>
          <w:marRight w:val="0"/>
          <w:marTop w:val="0"/>
          <w:marBottom w:val="101"/>
          <w:divBdr>
            <w:top w:val="none" w:sz="0" w:space="0" w:color="auto"/>
            <w:left w:val="none" w:sz="0" w:space="0" w:color="auto"/>
            <w:bottom w:val="none" w:sz="0" w:space="0" w:color="auto"/>
            <w:right w:val="none" w:sz="0" w:space="0" w:color="auto"/>
          </w:divBdr>
        </w:div>
        <w:div w:id="14898990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2584</Words>
  <Characters>14214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2022-01-14T14:35:00Z</dcterms:created>
  <dcterms:modified xsi:type="dcterms:W3CDTF">2022-01-14T14:37:00Z</dcterms:modified>
</cp:coreProperties>
</file>