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que celebran el Instituto de Salud para el Bienestar y el Estado de Guanajuato.</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QUE CELEBRAN POR UNA PARTE, EL INSTITUTO DE SALUD PARA EL BIENESTAR, AL QUE SE LE DENOMINARÁ EL "INSABI", REPRESENTADO POR SU DIRECTOR GENERAL, MTRO. JUAN ANTONIO FERRER AGUILAR, Y POR OTRA PARTE, EL GOBIERNO DEL ESTADO DE GUANAJUATO, AL QUE SE LE DENOMINARÁ "LA ENTIDAD", REPRESENTADO POR EL GOBERNADOR CONSTITUCIONAL DEL ESTADO DE GUANAJUATO LIC. DIEGO SINHUE RODRÍGUEZ VALLEJO, ASISTIDO POR EL SECRETARIO DE GOBIERNO, L.A.E. LUIS ERNESTO AYALA TORRES; EL SECRETARIO DE FINANZAS, INVERSIÓN Y ADMINISTRACIÓN, DR. HÉCTOR SALGADO BANDA, EL SECRETARIO DE SALUD Y DIRECTOR GENERAL DEL ORGANISMO PÚBLICO DESCENTRALIZADO DENOMINADO INSTITUTO DE SALUD PÚBLICA DEL ESTADO DE GUANAJUATO, DR. DANIEL ALBERTO DÍAZ MARTÍNEZ Y LA SECRETARIA DE LA TRANSPARENCIA Y RENDICIÓN DE CUENTAS, C.P. Y M.F. MARISOL DE LOURDES RUENES TORRES A QUIENES CUANDO ACTÚEN DE MANERA CONJUNTA SE LES DENOMINARÁ "LAS PARTES", AL TENOR DE LOS ANTECEDENTES, DECLARACIONES Y CLÁUSULAS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efecto, el artículo 77 bis 6 de la LGS señala que el "INSABI" y las entidades federativas celebrarán acuerdos de coordinación para la ejecución, por parte de éstas, de la prestación gratuita de servicios de salud, medicamentos y demás insumos asociados para las personas sin seguridad social, en los que se estipulará como mínimo, las modalidades orgánicas y funcionales de la prestación gratuita de los servicios de salud, medicamentos y demás insumos asociados; los conceptos de gasto; el destino de los recursos y los indicadores de seguimiento a la operación y los términos de la evaluación integral de la prestación gratuita de servicios de salud, medicamentos y demás insumos asociados.</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de Salud, que tiene por objeto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A),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Guanajuato, es una Entidad Libre y Soberana en todo lo que concierne a su régimen interior, que forma parte integrante de la Federación denominada Estados Unidos Mexicanos y que tiene la calidad de persona moral oficial, de conformidad con lo establecido en los artículos 40, 42, fracción I y 43 de la Constitución Política de los Estados Unidos Mexicanos; y 28, 29 y 32 de la Constitución Política para el Estado de Guanajuato; así como el numeral 24, fracción I, del Código Civil para el Estado de Guanajuato.</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Guanajuato, el Lic. Diego Sinhue Rodríguez Vallejo, comparece a la celebración del presente instrumento en ejercicio de las atribuciones que le son conferidas por la Constitución Política para el Estado de Guanajuato en los artículos 38 y 77, fracciones I, XVIII y XXII inciso a), así como por la Ley Orgánica del Poder Ejecutivo para el Estado de Guanajuato en los artículos 2 y 8 y acredita su personalidad conforme a la declaratoria de Gobernador Electo que en su favor fue expedida por la LXIII Sexagésima Tercera Legislatura Constitucional del Estado Libre y Soberano de Guanajuato, mediante el Decreto Legislativo número 333, de fecha 18 de septiembre de 2018, publicado en el ejemplar número 190, Décima Tercera Parte, del Periódico Oficial del Gobierno del Estado de Guanajuato, de fecha 21 de septiembre de 2018.</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de Gobierno, L.A.E. Luis Ernesto Ayala Torres, comparece a la celebración del presente instrumento en ejercicio de las atribuciones que le son conferidas en los artículos 3, párrafos primero y segundo, 12, 13, fracción I, 23, fracción V de la Ley Orgánica del Poder Ejecutivo para el Estado de Guanajuato; así como los numerales 2, 5 y 6, fracción IV del Reglamento Interior de la Secretaría de Gobierno y acredita su personalidad en este acto con el nombramiento para ejercer dicho cargo, expedido a su favor por el Gobernador Constitucional del Estado de Guanajuato, el 26 de septiembre de 2018.</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de Finanzas, Inversión y Administración, Doctor Héctor Salgado Banda, comparece a la celebración del presente instrumento en ejercicio de las atribuciones que le son conferidas en los artículos 3, párrafos primero y segundo, 12, 13, fracción II, 18 y 24, fracción IX de la Ley Orgánica del Poder Ejecutivo para el Estado de Guanajuato; así como los numerales 1, 2, fracción I, 4, fracción XI y 5, fracciones XX y XXI del Reglamento Interior de la Secretaría de Finanzas, Inversión y Administración; y acredita su personalidad en este acto con el nombramiento para ejercer dicho cargo, expedido a su favor por el Gobernador Constitucional del Estado de Guanajuato, el 26 de septiembre de 2018.</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Secretaria de la Transparencia y Rendición de Cuentas, Maestra Marisol de Lourdes Ruenes Torres, comparece a la celebración del presente instrumento en ejercicio de las atribuciones que le son conferidas en los artículos 3, párrafo primero y segundo, 13, fracción X, 18 y 32, fracción VII de la Ley Orgánica del Poder Ejecutivo para el Estado de Guanajuato; así como los numerales 1, 2, 3, fracción I, 5 y 6 del Reglamento Interior de la Secretaría de la Transparencia y Rendición de Cuentas; y acredita su personalidad en este acto con el nombramiento para ejercer dicho cargo, expedido a su favor por el Gobernador Constitucional del Estado, el 26 de septiembre de 2018.</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de Salud y Director General del organismo descentralizado de la Administración Pública Instituto de Salud Pública para el Estado de Guanajuato, "ISAPEG", participa en la celebración del presente Acuerdo de Coordinación, de conformidad con lo establecido en los artículos 2, 3 párrafo primero y tercero, 8, 12, 13, fracción V, 17, 27 fracción I, 35, 45, 49, fracción VII, 53 y 54, fracción IV y VIII de la Ley Orgánica del Poder Ejecutivo para el Estado de Guanajuato; 17, fracciones VI, VII y XVII del Decreto Gubernativo número 42, mediante el cual se reestructura la organización interna del "ISAPEG", publicado en el Periódico Oficial del Gobierno del Estado de Guanajuato 50-B, novena parte, de fecha 25 de junio de 2001; 7 fracciones I y VII del Reglamento Interior del "ISAPEG"; así como Acuerdo número JGE/2002019/10/02 del 19 de febrero de 2020, mediante el cual la Junta de Gobierno autorizó al Director General para que asista al Gobernador del Estado en la suscripción del Acuerdo de Coordinación para la garantizar la prestación gratuita de servicios de salud, medicamentos y demás insumos asociados para las personas sin seguridad social; y acredita su personalidad en este acto con el nombramiento para ejercer dicho cargo, expedido a su favor por el Gobernador Constitucional del Estado, el 26 de septiembre de 2018.</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fines y efectos legales del presente Acuerdo de Coordinación, señala como su domicilio el ubicado en Paseo de la Presa número exterior 103, segundo piso, C.P. 36000, de la ciudad de Guanajuato, Guanajuato.</w:t>
      </w:r>
    </w:p>
    <w:p w:rsidR="00000000" w:rsidDel="00000000" w:rsidP="00000000" w:rsidRDefault="00000000" w:rsidRPr="00000000" w14:paraId="0000001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por el artículo 77 bis 6 de la LGS y a fin de instrumentar en la circunscripción territorial de "LA ENTIDAD" la prestación gratuita de servicios de salud, medicamentos y demás insumos asociados para las personas sin seguridad social en los términos previstos en el Título Tercero Bis de la Ley en cita, es su voluntad celebrar el presente instrumento jurídico al tenor de las siguientes:</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OBJETO. El presente Acuerdo de Coordinación tiene por objeto establecer los compromisos a que se sujetarán "LAS PARTES", conforme a las competencias y facultades que establece el Título Tercero Bis de la LGS para cada una de ellas, a fin de garantizar la prestación gratuita de servicios de salud, medicamentos y demás insumos asociados para las personas sin seguridad social, dentro de la circunscripción territorial del Estado de Guanajuato.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"LA ENTIDAD", a través de la Secretaría de Salud y del Instituto de Salud Pública del Estado de Guanajuato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será responsable, en los términos previstos en la Ley General de Salud, en las disposiciones reglamentarias y administrativas que de la misma deriven, posteriores a la entrada en vigor del presente acto, y en las estipulaciones de este instrumento jurídico, de organizar, operar y supervisar la prestación gratuita de servicios de salud, medicamentos y demás insumos asociados para las personas sin seguridad social en el Estado de Guanajuato, a los que en lo sucesivo se denominarán "LOS SERVICIOS DE SALUD".</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PRESTACIÓN DE "LOS SERVICIOS DE SALUD". "LAS PARTES" acuerdan que la prestación de "LOS SERVICIOS DE SALUD", se sujetará a lo siguiente:</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DE SALUD".</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la Secretaría de Salud y del "ISAPEG", que la prestación de "LOS SERVICIOS DE SALUD" se sujetará orgánica y funcionalmente a los criterios siguientes:</w:t>
      </w:r>
    </w:p>
    <w:p w:rsidR="00000000" w:rsidDel="00000000" w:rsidP="00000000" w:rsidRDefault="00000000" w:rsidRPr="00000000" w14:paraId="0000002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DE SALUD", se sujetará al "Modelo de Salud para el Bienestar (SABI) para las personas sin Seguridad Social, basado en la Atención Primaria de Salud (APS)", al que en lo sucesivo se denominará el "Modelo de Atención", mismo que se agrega al presente Acuerdo de Coordinación como Anexo 1.</w:t>
      </w:r>
    </w:p>
    <w:p w:rsidR="00000000" w:rsidDel="00000000" w:rsidP="00000000" w:rsidRDefault="00000000" w:rsidRPr="00000000" w14:paraId="0000002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2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el "INSABI", en coordinación con la Secretaría de Salud del Gobierno Federal, efectúe al Modelo de Atención, formarán parte integral del referido Anexo 1 y surtirán efectos para "LA ENTIDAD", a fin de que ésta inicie el proceso de implementación a partir del día siguiente a aquél en que el "INSABI" le notifique por escrito las referidas modificaciones. Sin perjuicio de lo anterior, el "INSABI" difundirá el Modelo de Atención y sus modificaciones a través de su página de Internet y gestionará que la Secretaría de Salud del Gobierno Federal, de igual modo, difunda dichos documentos en su portal de Internet.</w:t>
      </w:r>
    </w:p>
    <w:p w:rsidR="00000000" w:rsidDel="00000000" w:rsidP="00000000" w:rsidRDefault="00000000" w:rsidRPr="00000000" w14:paraId="0000002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del "ISAPEG",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w:t>
      </w:r>
    </w:p>
    <w:p w:rsidR="00000000" w:rsidDel="00000000" w:rsidP="00000000" w:rsidRDefault="00000000" w:rsidRPr="00000000" w14:paraId="00000028">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que se brinda a los beneficiarios de "LOS SERVICIOS DE SALUD".</w:t>
      </w:r>
    </w:p>
    <w:p w:rsidR="00000000" w:rsidDel="00000000" w:rsidP="00000000" w:rsidRDefault="00000000" w:rsidRPr="00000000" w14:paraId="0000002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por conducto de la Secretaría de Salud e "ISAPEG", se obliga a llevar a cabo la prestación de los "LOS SERVICIOS DE SALUD",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SERVICIOS DE SALUD", conforme lo previsto en el artículo 77 bis 1 de la LGS.</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las sanciones administrativas y penales correspondientes, comprometiéndose "LAS PARTES" a denunciarlo ante las instancias federales y locales competentes.</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por conducto de la Secretaría de Salud e "ISAPEG", de supervisar que sus unidades médicas que lleven a cabo la prestación de "LOS SERVICIOS DE SALUD", obtengan y mantengan de la Secretaría de Salud del Gobierno Federal,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por conducto de la Secretaría de Salud e "ISAPEG",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por conducto de la Secretaría de Salud e "ISAPEG", será responsable de dar a conocer a través de los medios que tenga disponibles, los materiales que para tal fin diseñe y elabore la Secretaría de Salud del Gobierno Federal, relativos a la sensibilización, difusión, promoción y metodología de capacitación, que se utilizarán en la prestación de "LOS SERVICIOS DE SALUD". Dichos materiales le serán proporcionados a "LA ENTIDAD", por conducto del "INSABI".</w:t>
      </w:r>
    </w:p>
    <w:p w:rsidR="00000000" w:rsidDel="00000000" w:rsidP="00000000" w:rsidRDefault="00000000" w:rsidRPr="00000000" w14:paraId="0000002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en los plazos y bajo los criterios que éste determine, la información relativa y actualizada referente al ejercicio de los recursos destinados a la prestación de "LOS SERVICIOS DE SALUD".</w:t>
      </w:r>
    </w:p>
    <w:p w:rsidR="00000000" w:rsidDel="00000000" w:rsidP="00000000" w:rsidRDefault="00000000" w:rsidRPr="00000000" w14:paraId="0000002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Título Tercero Bis de la Ley General de Salud, que emita el "INSABI", previa opinión de la Secretaría de Hacienda y Crédito Público.</w:t>
      </w:r>
    </w:p>
    <w:p w:rsidR="00000000" w:rsidDel="00000000" w:rsidP="00000000" w:rsidRDefault="00000000" w:rsidRPr="00000000" w14:paraId="0000003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por conducto de la Secretaría de Salud e "ISAPEG", se obliga a establecer un sistema de orientación y atención de quejas y sugerencias respecto de la prestación de "LOS SERVICIOS DE SALUD" y dar seguimiento a las mismas hasta su conclusión, aplicando, en su caso, las medidas correctivas necesarias para prevenir su recurrencia.</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3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DE SALUD", en los términos que anualmente se determinen en el Anexo 2 del presente instrumento jurídico. Para tal fin, dicho Anexo 2 deberá señalar lo siguiente:</w:t>
      </w:r>
    </w:p>
    <w:p w:rsidR="00000000" w:rsidDel="00000000" w:rsidP="00000000" w:rsidRDefault="00000000" w:rsidRPr="00000000" w14:paraId="0000003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monto total de los recursos presupuestarios federales que en términos de lo dispuesto en los artículos 77 bis 11 y 77 bis 12 de la Ley General de Salud y el Presupuesto de Egresos de la Federación para el ejercicio fiscal de que se trate, y con sujeción a la disponibilidad presupuestaria, la Federación deba destinar a "LA ENTIDAD" para la prestación de "LOS SERVICIOS DE SALUD".</w:t>
      </w:r>
    </w:p>
    <w:p w:rsidR="00000000" w:rsidDel="00000000" w:rsidP="00000000" w:rsidRDefault="00000000" w:rsidRPr="00000000" w14:paraId="00000034">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w:t>
      </w:r>
    </w:p>
    <w:p w:rsidR="00000000" w:rsidDel="00000000" w:rsidP="00000000" w:rsidRDefault="00000000" w:rsidRPr="00000000" w14:paraId="00000035">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3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calendario de transferencia respectivo y sus modalidades, incluyendo los recursos que se entregarán en especie</w:t>
      </w:r>
    </w:p>
    <w:p w:rsidR="00000000" w:rsidDel="00000000" w:rsidP="00000000" w:rsidRDefault="00000000" w:rsidRPr="00000000" w14:paraId="0000003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demás elementos que se señalan en este Acuerdo de Coordinación.</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en términos de lo dispuesto por los artículos 69, último párrafo de la Ley General de Contabilidad Gubernamental y 77 bis 15, fracción I de la Ley General de Salud, "LA ENTIDAD", a través de su Secretaría de Finanzas, Inversión y Administración deberá abrir, en forma previa a la radicación de los recursos, una cuenta bancaria productiva,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presupuestarios federales en la Secretaría de Finanzas, Inversión y Administración de "LA ENTIDAD", ésta se obliga a ministrarlos íntegramente junto con los rendimientos financieros que se hubiesen generado, dentro de los cinco días hábiles siguientes a su recepción, al "ISAPEG", que tendrá el carácter de Unidad Ejecutora para efectos de la prestación de "LOS SERVICIOS DE SALUD" y de los recursos presupuestarios federales asignados para tal fin.</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Inversión y Administración de "LA ENTIDAD".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Inversión y Administración de "LA ENTIDAD", abrir una cuenta bancaria productiva, específica para la recepción de los recursos referidos.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 ministración de la totalidad o parte de los recursos a la Unidad Ejecutora en el plazo establecido en el párrafo cuarto de esta Cláusula, se considerará incumplimiento de este instrumento jurídico y será causa para proceder en términos de lo dispuesto en el artículo 469 bis de la Ley General de Salud, que tipifica como delito, la conducta realizada por cualquier persona que desvíe del objeto para el cual fueron transferidos o entregados los recursos en numerario o en especie, según el caso, a que se refiere el Título Tercero Bis de la Ley General de Salud, si por razón de sus funciones o actividades los hubiere recibido en administración o por cualquier otra causa.</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Finanzas, Inversión y Administración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presupuestarios federales que el "INSABI" transfiera a "LA ENTIDAD" para la prestación de "LOS SERVICIOS DE SALUD", así como los rendimientos financieros que éstos generen, no podrán ser destinados a fines distintos a los expresamente previstos en el Anexo 2 del presente Acuerdo de Coordinación.</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"LAS PARTES" están conformes en que en el referido Anexo 2 se establecerán en cada ejercicio fiscal, con base en lo dispuesto por el Presupuesto de Egresos de la Federación correspondiente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Ley General de Salud.</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responsabilidad de "LA ENTIDAD", por conducto de la Secretaría de Salud e "ISAPEG", aplicar los recursos que se le transfieran en apego a lo establecido en las disposiciones jurídicas aplicables en dicha materia.</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"LA ENTIDAD", por conducto de la Secretaría de Salud e "ISAPEG", se obliga a administrar y supervisar el ejercicio de los recursos que el "INSABI" le transfiera para la prestación de "LOS SERVICIOS DE SALUD", apegándose a los criterios generales que en materia de supervisión emita "el "INSABI", los cuales, una vez formulados se notificarán por oficio a "LA ENTIDAD" y sin mayor trámite se agregará al presente Acuerdo de Coordinación como Anexo 3.</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el referido Anexo 3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en el entendido de que corresponde a "LA ENTIDAD", por conducto de la Secretaría de Salud e "ISAPEG", verificar que la documentación comprobatoria del gasto de los recursos presupuestarios que se destinen a la prestación de "LOS SERVICIOS DE SALUD", cumpla con los requisitos fiscales establecidos en las disposiciones federales aplicables, entre otros, aquéllos que determinan los artículos 29 y 29-A, del Código Fiscal de la Federación, los que deberán expedirse a nombre de la Unidad Ejecutora,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Unidad Ejecutora.</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DE SALUD" que se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federales competentes.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la finalidad de propiciar la correcta aplicación de los recursos que se transfieran a "LA ENTIDAD" para la prestación de los "SERVICIOS DE SALUD", ésta se obliga a participar, a través de la Secretaría de la Transparencia y Rendición de Cuentas,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4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w:t>
      </w:r>
    </w:p>
    <w:p w:rsidR="00000000" w:rsidDel="00000000" w:rsidP="00000000" w:rsidRDefault="00000000" w:rsidRPr="00000000" w14:paraId="0000004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4E">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4F">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50">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51">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exclusivamente en los casos de excepción que se prevean en las Reglas de Operación de "EL FONDO".</w:t>
      </w:r>
    </w:p>
    <w:p w:rsidR="00000000" w:rsidDel="00000000" w:rsidP="00000000" w:rsidRDefault="00000000" w:rsidRPr="00000000" w14:paraId="00000052">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en los casos de excepción que se prevean en las Reglas de Operación de "EL FONDO", los recursos que "LA ENTIDAD" reciba para la atención de enfermedades que provocan gastos catastróficos, junto con los rendimientos financieros que los mismos generen, serán transferidos a través de la Secretaría de Finanzas, Inversión y Administración</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en la cuenta bancaria productiva,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53">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referidos en el párrafo anterior en la Secretaría de Finanzas, Inversión y Administración de "LA ENTIDAD", ésta se obliga a ministrarlos íntegramente, dentro de los cinco días hábiles siguientes a su recepción, al "ISAPEG" el cual es reconocido en su carácter de Ejecutor del Gasto o Unidad Ejecutora en el convenio de colaboración que se haya celebrado conforme a lo previsto en las Reglas de Operación del "FONDO". Dicha ministración deberá realizarse en la cuenta bancaria productiva, específica que se abra de manera exclusiva para tal fin en la institución bancaria que determine el Ejecutor del Gasto o Unidad Ejecutora.</w:t>
      </w:r>
    </w:p>
    <w:p w:rsidR="00000000" w:rsidDel="00000000" w:rsidP="00000000" w:rsidRDefault="00000000" w:rsidRPr="00000000" w14:paraId="00000054">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considerando el criterio de devengado señalado en el numeral ii del presente inciso, "LA ENTIDAD", por conducto de la Secretaría de Finanzas, Inversión y Administración,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55">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Inversión y Administración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5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5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5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de "LOS SERVICIOS DE SALUD".</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2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2 de este instrumento jurídico.</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tenor, "LA ENTIDAD", por conducto de la Secretaría de Finanzas, Inversión y Administración se obliga a entregar a la Unidad Ejecutora, el importe que le corresponda aportar en numerario para la prestación de "LOS SERVICIOS DE SALUD", a través de la cuenta bancaria productiva específica que esta última abra para tal fin, en los términos y conforme al calendario que al efecto se prevea en el referido Anexo 2.</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anterior, "LA ENTIDAD" manifiesta su conformidad para que, en caso de incumplimiento respecto de la entrega de los recursos a que se hace referencia en el párrafo anterior o de la entrega en especie correspondiente,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con cargo a las participaciones antes señaladas, se ponga a disposición de la Unidad Ejecutora el monto correspondiente.</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podrá anualmente realizar aportaciones adicionales para la prestación de "LOS SERVICIOS DE SALUD", cuyos fines deberán estipularse en el convenio específico que celebren.</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DE SALUD".</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seguimiento a la operación y la evaluación integral de la prestación de "LOS SERVICIOS DE SALUD" se realizarán conforme a los indicadores y los términos que establezca el "INSABI", tomando en consideración la opinión "LA ENTIDAD", los cuales, una vez definidos y suscritos por "LAS PARTES", se agregarán como Anexo 4 del presente Acuerdo de Coordinación.</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por conducto de la Secretaría de Salud e "ISAPEG", será responsable de promover y llevar a cabo las acciones necesarias para que los beneficiarios de "LOS SERVICIOS DE SALUD",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VIGENCIA. El presente Acuerdo de Coordinación surtirá sus efectos a partir de la fecha de su firma y tendrá una vigencia indefinida.</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RELACIÓN LABORAL.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 otra,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 otra,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Modelo de Atención.</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w:t>
      </w:r>
      <w:r w:rsidDel="00000000" w:rsidR="00000000" w:rsidRPr="00000000">
        <w:rPr>
          <w:color w:val="2f2f2f"/>
          <w:sz w:val="18"/>
          <w:szCs w:val="18"/>
          <w:rtl w:val="0"/>
        </w:rPr>
        <w:t xml:space="preserve"> Monto de Recursos a Transferir y Conceptos de Gasto.</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w:t>
      </w:r>
      <w:r w:rsidDel="00000000" w:rsidR="00000000" w:rsidRPr="00000000">
        <w:rPr>
          <w:color w:val="2f2f2f"/>
          <w:sz w:val="18"/>
          <w:szCs w:val="18"/>
          <w:rtl w:val="0"/>
        </w:rPr>
        <w:t xml:space="preserve"> Criterios Generales en Materia de Supervisión.</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w:t>
      </w:r>
      <w:r w:rsidDel="00000000" w:rsidR="00000000" w:rsidRPr="00000000">
        <w:rPr>
          <w:color w:val="2f2f2f"/>
          <w:sz w:val="18"/>
          <w:szCs w:val="18"/>
          <w:rtl w:val="0"/>
        </w:rPr>
        <w:t xml:space="preserve"> Indicadores de Seguimiento a la Operación y los Términos de la Evaluación Integral.</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3 y 4 antes referidos se integrarán al presente Acuerdo de Coordinación, una vez que se suscriban en los términos estipulados en las cláusulas Segunda, apartados C y G de este instrumento jurídico.</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2 será actualizado de manera anual, por conducto de los titulares del "INSABI", y "LA ENTIDAD" por conducto de la Secretaría de Salud e "ISAPEG" y la Secretaría de Finanzas, Inversión y Administración.</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constancia por escrito, de las determinaciones que al efecto se realicen.</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competencia que pudiere corresponderles en función de sus domicilios presentes o futuros.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por triplicado, en la Ciudad de México, a los 28 días del mes de febrero de 2020.-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Diego Sinhue Rodríguez Vallejo</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Luis Ernesto Ayala Torres</w:t>
      </w:r>
      <w:r w:rsidDel="00000000" w:rsidR="00000000" w:rsidRPr="00000000">
        <w:rPr>
          <w:color w:val="2f2f2f"/>
          <w:sz w:val="18"/>
          <w:szCs w:val="18"/>
          <w:rtl w:val="0"/>
        </w:rPr>
        <w:t xml:space="preserve">.- Rúbrica.- El Secretario de Finanzas, Inversión y Administración, </w:t>
      </w:r>
      <w:r w:rsidDel="00000000" w:rsidR="00000000" w:rsidRPr="00000000">
        <w:rPr>
          <w:b w:val="1"/>
          <w:color w:val="2f2f2f"/>
          <w:sz w:val="18"/>
          <w:szCs w:val="18"/>
          <w:rtl w:val="0"/>
        </w:rPr>
        <w:t xml:space="preserve">Héctor Salgado Banda</w:t>
      </w:r>
      <w:r w:rsidDel="00000000" w:rsidR="00000000" w:rsidRPr="00000000">
        <w:rPr>
          <w:color w:val="2f2f2f"/>
          <w:sz w:val="18"/>
          <w:szCs w:val="18"/>
          <w:rtl w:val="0"/>
        </w:rPr>
        <w:t xml:space="preserve">.- Rúbrica.- El Secretario de Salud y Director General del Instituto de Salud Pública del Estado de Guanajuato, </w:t>
      </w:r>
      <w:r w:rsidDel="00000000" w:rsidR="00000000" w:rsidRPr="00000000">
        <w:rPr>
          <w:b w:val="1"/>
          <w:color w:val="2f2f2f"/>
          <w:sz w:val="18"/>
          <w:szCs w:val="18"/>
          <w:rtl w:val="0"/>
        </w:rPr>
        <w:t xml:space="preserve">Daniel Alberto Díaz Martínez</w:t>
      </w:r>
      <w:r w:rsidDel="00000000" w:rsidR="00000000" w:rsidRPr="00000000">
        <w:rPr>
          <w:color w:val="2f2f2f"/>
          <w:sz w:val="18"/>
          <w:szCs w:val="18"/>
          <w:rtl w:val="0"/>
        </w:rPr>
        <w:t xml:space="preserve">.- Rúbrica.- La Secretaria de la Transparencia y Rendición de Cuentas, </w:t>
      </w:r>
      <w:r w:rsidDel="00000000" w:rsidR="00000000" w:rsidRPr="00000000">
        <w:rPr>
          <w:b w:val="1"/>
          <w:color w:val="2f2f2f"/>
          <w:sz w:val="18"/>
          <w:szCs w:val="18"/>
          <w:rtl w:val="0"/>
        </w:rPr>
        <w:t xml:space="preserve">Marisol de Lourdes Ruenes Torres</w:t>
      </w:r>
      <w:r w:rsidDel="00000000" w:rsidR="00000000" w:rsidRPr="00000000">
        <w:rPr>
          <w:color w:val="2f2f2f"/>
          <w:sz w:val="18"/>
          <w:szCs w:val="18"/>
          <w:rtl w:val="0"/>
        </w:rPr>
        <w:t xml:space="preserve">.- Rúbrica.</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1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Guanajuato.</w:t>
      </w:r>
    </w:p>
    <w:p w:rsidR="00000000" w:rsidDel="00000000" w:rsidP="00000000" w:rsidRDefault="00000000" w:rsidRPr="00000000" w14:paraId="0000007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07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Salud para el Bienestar (SABI) para las personas sin Seguridad Social, basado en la</w:t>
      </w:r>
    </w:p>
    <w:p w:rsidR="00000000" w:rsidDel="00000000" w:rsidP="00000000" w:rsidRDefault="00000000" w:rsidRPr="00000000" w14:paraId="0000007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Atención Primaria de Salud (APS)</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ÍNDICE.</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08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08C">
      <w:pPr>
        <w:shd w:fill="ffffff" w:val="clear"/>
        <w:spacing w:after="10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Siglas y Acrónimos.</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093">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Modelo SABI honra plenamente el derecho humano reconocido en el párrafo cuarto del artículo 4o de la Constitución Política de los Estados Unidos Mexicanos, en el sentido de que: </w:t>
      </w:r>
      <w:r w:rsidDel="00000000" w:rsidR="00000000" w:rsidRPr="00000000">
        <w:rPr>
          <w:i w:val="1"/>
          <w:color w:val="2f2f2f"/>
          <w:sz w:val="18"/>
          <w:szCs w:val="18"/>
          <w:rtl w:val="0"/>
        </w:rPr>
        <w:t xml:space="preserve">"Toda persona tiene derecho a la protección de la salud".</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w:t>
      </w:r>
      <w:r w:rsidDel="00000000" w:rsidR="00000000" w:rsidRPr="00000000">
        <w:rPr>
          <w:i w:val="1"/>
          <w:color w:val="2f2f2f"/>
          <w:sz w:val="18"/>
          <w:szCs w:val="18"/>
          <w:rtl w:val="0"/>
        </w:rPr>
        <w:t xml:space="preserve">"reduccionista</w:t>
      </w:r>
      <w:r w:rsidDel="00000000" w:rsidR="00000000" w:rsidRPr="00000000">
        <w:rPr>
          <w:color w:val="2f2f2f"/>
          <w:sz w:val="18"/>
          <w:szCs w:val="18"/>
          <w:rtl w:val="0"/>
        </w:rPr>
        <w:t xml:space="preserve">"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0A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w:t>
      </w:r>
      <w:r w:rsidDel="00000000" w:rsidR="00000000" w:rsidRPr="00000000">
        <w:rPr>
          <w:i w:val="1"/>
          <w:color w:val="2f2f2f"/>
          <w:sz w:val="18"/>
          <w:szCs w:val="18"/>
          <w:rtl w:val="0"/>
        </w:rPr>
        <w:t xml:space="preserve">Sistema de Protección Social en Salud (Seguro Popular), </w:t>
      </w:r>
      <w:r w:rsidDel="00000000" w:rsidR="00000000" w:rsidRPr="00000000">
        <w:rPr>
          <w:color w:val="2f2f2f"/>
          <w:sz w:val="18"/>
          <w:szCs w:val="18"/>
          <w:rtl w:val="0"/>
        </w:rPr>
        <w:t xml:space="preserve">complementado para los menores de 5 años con el S</w:t>
      </w:r>
      <w:r w:rsidDel="00000000" w:rsidR="00000000" w:rsidRPr="00000000">
        <w:rPr>
          <w:i w:val="1"/>
          <w:color w:val="2f2f2f"/>
          <w:sz w:val="18"/>
          <w:szCs w:val="18"/>
          <w:rtl w:val="0"/>
        </w:rPr>
        <w:t xml:space="preserve">eguro Médico Siglo XXI</w:t>
      </w:r>
      <w:r w:rsidDel="00000000" w:rsidR="00000000" w:rsidRPr="00000000">
        <w:rPr>
          <w:color w:val="2f2f2f"/>
          <w:sz w:val="18"/>
          <w:szCs w:val="18"/>
          <w:rtl w:val="0"/>
        </w:rPr>
        <w:t xml:space="preserve"> (antes </w:t>
      </w:r>
      <w:r w:rsidDel="00000000" w:rsidR="00000000" w:rsidRPr="00000000">
        <w:rPr>
          <w:i w:val="1"/>
          <w:color w:val="2f2f2f"/>
          <w:sz w:val="18"/>
          <w:szCs w:val="18"/>
          <w:rtl w:val="0"/>
        </w:rPr>
        <w:t xml:space="preserve">Seguro Médico para una nueva generación</w:t>
      </w:r>
      <w:r w:rsidDel="00000000" w:rsidR="00000000" w:rsidRPr="00000000">
        <w:rPr>
          <w:color w:val="2f2f2f"/>
          <w:sz w:val="18"/>
          <w:szCs w:val="18"/>
          <w:rtl w:val="0"/>
        </w:rPr>
        <w:t xml:space="preserve">).</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juzgarse que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alrededor de 20 millones de mexicanos/as no estuvieron afiliados a la seguridad social ni al</w:t>
      </w:r>
      <w:r w:rsidDel="00000000" w:rsidR="00000000" w:rsidRPr="00000000">
        <w:rPr>
          <w:i w:val="1"/>
          <w:color w:val="2f2f2f"/>
          <w:sz w:val="18"/>
          <w:szCs w:val="18"/>
          <w:rtl w:val="0"/>
        </w:rPr>
        <w:t xml:space="preserve"> Seguro Popular</w:t>
      </w:r>
      <w:r w:rsidDel="00000000" w:rsidR="00000000" w:rsidRPr="00000000">
        <w:rPr>
          <w:color w:val="2f2f2f"/>
          <w:sz w:val="18"/>
          <w:szCs w:val="18"/>
          <w:rtl w:val="0"/>
        </w:rPr>
        <w:t xml:space="preserve">, es decir, no se alcanzó la universalidad.</w:t>
      </w:r>
    </w:p>
    <w:p w:rsidR="00000000" w:rsidDel="00000000" w:rsidP="00000000" w:rsidRDefault="00000000" w:rsidRPr="00000000" w14:paraId="000000B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Una síntesis de las insuficiencias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0B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0B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0B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0B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0B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 través del CAUSES y del FPGC contempló, en conjunto, la atención de 2,102 claves.</w:t>
      </w:r>
    </w:p>
    <w:p w:rsidR="00000000" w:rsidDel="00000000" w:rsidP="00000000" w:rsidRDefault="00000000" w:rsidRPr="00000000" w14:paraId="000000B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0B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0B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0BA">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3. Salud y Bienestar en México. Retos y Oportunidades.</w:t>
      </w:r>
    </w:p>
    <w:p w:rsidR="00000000" w:rsidDel="00000000" w:rsidP="00000000" w:rsidRDefault="00000000" w:rsidRPr="00000000" w14:paraId="000000B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0B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0B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w:t>
      </w:r>
    </w:p>
    <w:p w:rsidR="00000000" w:rsidDel="00000000" w:rsidP="00000000" w:rsidRDefault="00000000" w:rsidRPr="00000000" w14:paraId="000000BE">
      <w:pPr>
        <w:shd w:fill="ffffff" w:val="clear"/>
        <w:spacing w:after="40" w:lineRule="auto"/>
        <w:jc w:val="both"/>
        <w:rPr>
          <w:color w:val="2f2f2f"/>
          <w:sz w:val="18"/>
          <w:szCs w:val="18"/>
        </w:rPr>
      </w:pPr>
      <w:r w:rsidDel="00000000" w:rsidR="00000000" w:rsidRPr="00000000">
        <w:rPr>
          <w:color w:val="2f2f2f"/>
          <w:sz w:val="18"/>
          <w:szCs w:val="18"/>
          <w:rtl w:val="0"/>
        </w:rPr>
        <w:t xml:space="preserve">saludables.</w:t>
      </w:r>
    </w:p>
    <w:p w:rsidR="00000000" w:rsidDel="00000000" w:rsidP="00000000" w:rsidRDefault="00000000" w:rsidRPr="00000000" w14:paraId="000000B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0D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0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0D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Principios Organizativos del Modelo de Salud para el Bienestar (SABI).</w:t>
      </w:r>
    </w:p>
    <w:p w:rsidR="00000000" w:rsidDel="00000000" w:rsidP="00000000" w:rsidRDefault="00000000" w:rsidRPr="00000000" w14:paraId="000000D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Integral. </w:t>
      </w:r>
      <w:r w:rsidDel="00000000" w:rsidR="00000000" w:rsidRPr="00000000">
        <w:rPr>
          <w:color w:val="2f2f2f"/>
          <w:sz w:val="18"/>
          <w:szCs w:val="18"/>
          <w:rtl w:val="0"/>
        </w:rPr>
        <w:t xml:space="preserve">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0D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Acceso universal garantizado.</w:t>
      </w:r>
      <w:r w:rsidDel="00000000" w:rsidR="00000000" w:rsidRPr="00000000">
        <w:rPr>
          <w:color w:val="2f2f2f"/>
          <w:sz w:val="18"/>
          <w:szCs w:val="18"/>
          <w:rtl w:val="0"/>
        </w:rPr>
        <w:t xml:space="preserve"> 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0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Centrado en las personas.</w:t>
      </w:r>
      <w:r w:rsidDel="00000000" w:rsidR="00000000" w:rsidRPr="00000000">
        <w:rPr>
          <w:color w:val="2f2f2f"/>
          <w:sz w:val="18"/>
          <w:szCs w:val="18"/>
          <w:rtl w:val="0"/>
        </w:rPr>
        <w:t xml:space="preserve"> 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0D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Eficiente y eficaz. </w:t>
      </w:r>
      <w:r w:rsidDel="00000000" w:rsidR="00000000" w:rsidRPr="00000000">
        <w:rPr>
          <w:color w:val="2f2f2f"/>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0D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Calidad. </w:t>
      </w:r>
      <w:r w:rsidDel="00000000" w:rsidR="00000000" w:rsidRPr="00000000">
        <w:rPr>
          <w:color w:val="2f2f2f"/>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0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Equitativo. </w:t>
      </w:r>
      <w:r w:rsidDel="00000000" w:rsidR="00000000" w:rsidRPr="00000000">
        <w:rPr>
          <w:color w:val="2f2f2f"/>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0D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Enfoque de género.</w:t>
      </w:r>
      <w:r w:rsidDel="00000000" w:rsidR="00000000" w:rsidRPr="00000000">
        <w:rPr>
          <w:color w:val="2f2f2f"/>
          <w:sz w:val="18"/>
          <w:szCs w:val="18"/>
          <w:rtl w:val="0"/>
        </w:rPr>
        <w:t xml:space="preserve"> 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0D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Interculturalidad.</w:t>
      </w:r>
      <w:r w:rsidDel="00000000" w:rsidR="00000000" w:rsidRPr="00000000">
        <w:rPr>
          <w:color w:val="2f2f2f"/>
          <w:sz w:val="18"/>
          <w:szCs w:val="18"/>
          <w:rtl w:val="0"/>
        </w:rPr>
        <w:t xml:space="preserve"> 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0E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Redes Integradas de Servicios de Salud (RISS).</w:t>
      </w:r>
      <w:r w:rsidDel="00000000" w:rsidR="00000000" w:rsidRPr="00000000">
        <w:rPr>
          <w:color w:val="2f2f2f"/>
          <w:sz w:val="18"/>
          <w:szCs w:val="18"/>
          <w:rtl w:val="0"/>
        </w:rPr>
        <w:t xml:space="preserve"> 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0E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Financiamiento adecuado.</w:t>
      </w:r>
      <w:r w:rsidDel="00000000" w:rsidR="00000000" w:rsidRPr="00000000">
        <w:rPr>
          <w:color w:val="2f2f2f"/>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0E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Coordinación intersectorial.</w:t>
      </w:r>
      <w:r w:rsidDel="00000000" w:rsidR="00000000" w:rsidRPr="00000000">
        <w:rPr>
          <w:color w:val="2f2f2f"/>
          <w:sz w:val="18"/>
          <w:szCs w:val="18"/>
          <w:rtl w:val="0"/>
        </w:rPr>
        <w:t xml:space="preserve"> 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0E4">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5. Alcance del Modelo de Salud para el Bienestar (SABI).</w:t>
      </w:r>
    </w:p>
    <w:p w:rsidR="00000000" w:rsidDel="00000000" w:rsidP="00000000" w:rsidRDefault="00000000" w:rsidRPr="00000000" w14:paraId="000000E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0E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0E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0E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0E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0E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0E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0EC">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6. Organización de la Prestación de Servicios a las Personas.</w:t>
      </w:r>
    </w:p>
    <w:p w:rsidR="00000000" w:rsidDel="00000000" w:rsidP="00000000" w:rsidRDefault="00000000" w:rsidRPr="00000000" w14:paraId="000000E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0E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0E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w:t>
      </w:r>
    </w:p>
    <w:p w:rsidR="00000000" w:rsidDel="00000000" w:rsidP="00000000" w:rsidRDefault="00000000" w:rsidRPr="00000000" w14:paraId="000000F0">
      <w:pPr>
        <w:shd w:fill="ffffff" w:val="clear"/>
        <w:spacing w:after="40" w:lineRule="auto"/>
        <w:jc w:val="both"/>
        <w:rPr>
          <w:color w:val="2f2f2f"/>
          <w:sz w:val="18"/>
          <w:szCs w:val="18"/>
        </w:rPr>
      </w:pPr>
      <w:r w:rsidDel="00000000" w:rsidR="00000000" w:rsidRPr="00000000">
        <w:rPr>
          <w:color w:val="2f2f2f"/>
          <w:sz w:val="18"/>
          <w:szCs w:val="18"/>
          <w:rtl w:val="0"/>
        </w:rPr>
        <w:t xml:space="preserve">caracterizan el Modelo SABI.</w:t>
      </w:r>
    </w:p>
    <w:p w:rsidR="00000000" w:rsidDel="00000000" w:rsidP="00000000" w:rsidRDefault="00000000" w:rsidRPr="00000000" w14:paraId="000000F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0F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a la salud.</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7. Financiamiento del Modelo SABI basado en la APS.</w:t>
      </w:r>
    </w:p>
    <w:p w:rsidR="00000000" w:rsidDel="00000000" w:rsidP="00000000" w:rsidRDefault="00000000" w:rsidRPr="00000000" w14:paraId="000001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w:t>
      </w:r>
    </w:p>
    <w:p w:rsidR="00000000" w:rsidDel="00000000" w:rsidP="00000000" w:rsidRDefault="00000000" w:rsidRPr="00000000" w14:paraId="0000011B">
      <w:pPr>
        <w:shd w:fill="ffffff" w:val="clear"/>
        <w:spacing w:after="80" w:lineRule="auto"/>
        <w:jc w:val="both"/>
        <w:rPr>
          <w:color w:val="2f2f2f"/>
          <w:sz w:val="18"/>
          <w:szCs w:val="18"/>
        </w:rPr>
      </w:pPr>
      <w:r w:rsidDel="00000000" w:rsidR="00000000" w:rsidRPr="00000000">
        <w:rPr>
          <w:color w:val="2f2f2f"/>
          <w:sz w:val="18"/>
          <w:szCs w:val="18"/>
          <w:rtl w:val="0"/>
        </w:rPr>
        <w:t xml:space="preserve">vulnerabilidad.</w:t>
      </w:r>
    </w:p>
    <w:p w:rsidR="00000000" w:rsidDel="00000000" w:rsidP="00000000" w:rsidRDefault="00000000" w:rsidRPr="00000000" w14:paraId="000001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1D">
      <w:pPr>
        <w:shd w:fill="ffffff" w:val="clear"/>
        <w:spacing w:after="8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1E">
      <w:pPr>
        <w:shd w:fill="ffffff" w:val="clear"/>
        <w:spacing w:after="8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124.2 MMDP para 2019.</w:t>
      </w:r>
    </w:p>
    <w:p w:rsidR="00000000" w:rsidDel="00000000" w:rsidP="00000000" w:rsidRDefault="00000000" w:rsidRPr="00000000" w14:paraId="0000011F">
      <w:pPr>
        <w:shd w:fill="ffffff" w:val="clear"/>
        <w:spacing w:after="8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20">
      <w:pPr>
        <w:shd w:fill="ffffff" w:val="clear"/>
        <w:spacing w:after="8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Seguimiento y Evaluación del Modelo SABI.</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Jerarquización y Supervisión de la Aplicación del Modelo SABI.</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13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mismos,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13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13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13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1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El Personal Médico para la APS en México.</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su propia capacidad de autoaprendizaje y de búsqueda de conocimientos.</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1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 El Personal de Enfermería para la APS.</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1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12. Visión de Mediano Plazo del Sistema de Salud de México.</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ruta crítica de este proceso inicialmente transita por adoptar </w:t>
      </w:r>
      <w:r w:rsidDel="00000000" w:rsidR="00000000" w:rsidRPr="00000000">
        <w:rPr>
          <w:color w:val="2f2f2f"/>
          <w:sz w:val="18"/>
          <w:szCs w:val="18"/>
          <w:u w:val="single"/>
          <w:rtl w:val="0"/>
        </w:rPr>
        <w:t xml:space="preserve">enfoques compartidos</w:t>
      </w:r>
      <w:r w:rsidDel="00000000" w:rsidR="00000000" w:rsidRPr="00000000">
        <w:rPr>
          <w:color w:val="2f2f2f"/>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1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segundo momento es la </w:t>
      </w:r>
      <w:r w:rsidDel="00000000" w:rsidR="00000000" w:rsidRPr="00000000">
        <w:rPr>
          <w:color w:val="2f2f2f"/>
          <w:sz w:val="18"/>
          <w:szCs w:val="18"/>
          <w:u w:val="single"/>
          <w:rtl w:val="0"/>
        </w:rPr>
        <w:t xml:space="preserve">convergencia de prácticas</w:t>
      </w:r>
      <w:r w:rsidDel="00000000" w:rsidR="00000000" w:rsidRPr="00000000">
        <w:rPr>
          <w:color w:val="2f2f2f"/>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1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tercer momento de la integración del Sistema Nacional de Salud es la oferta de </w:t>
      </w:r>
      <w:r w:rsidDel="00000000" w:rsidR="00000000" w:rsidRPr="00000000">
        <w:rPr>
          <w:color w:val="2f2f2f"/>
          <w:sz w:val="18"/>
          <w:szCs w:val="18"/>
          <w:u w:val="single"/>
          <w:rtl w:val="0"/>
        </w:rPr>
        <w:t xml:space="preserve">capacidades conjuntas</w:t>
      </w:r>
      <w:r w:rsidDel="00000000" w:rsidR="00000000" w:rsidRPr="00000000">
        <w:rPr>
          <w:color w:val="2f2f2f"/>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camino abonará el anhelo de que se alcance un sistema único de salud en el país.</w:t>
      </w:r>
    </w:p>
    <w:p w:rsidR="00000000" w:rsidDel="00000000" w:rsidP="00000000" w:rsidRDefault="00000000" w:rsidRPr="00000000" w14:paraId="0000016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13. Consideraciones Finales.</w:t>
      </w:r>
    </w:p>
    <w:p w:rsidR="00000000" w:rsidDel="00000000" w:rsidP="00000000" w:rsidRDefault="00000000" w:rsidRPr="00000000" w14:paraId="000001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1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1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magnitud de los problemas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1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16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w:t>
      </w:r>
    </w:p>
    <w:p w:rsidR="00000000" w:rsidDel="00000000" w:rsidP="00000000" w:rsidRDefault="00000000" w:rsidRPr="00000000" w14:paraId="0000016E">
      <w:pPr>
        <w:shd w:fill="ffffff" w:val="clear"/>
        <w:spacing w:after="80" w:lineRule="auto"/>
        <w:jc w:val="both"/>
        <w:rPr>
          <w:color w:val="2f2f2f"/>
          <w:sz w:val="18"/>
          <w:szCs w:val="18"/>
        </w:rPr>
      </w:pPr>
      <w:r w:rsidDel="00000000" w:rsidR="00000000" w:rsidRPr="00000000">
        <w:rPr>
          <w:color w:val="2f2f2f"/>
          <w:sz w:val="18"/>
          <w:szCs w:val="18"/>
          <w:rtl w:val="0"/>
        </w:rPr>
        <w:t xml:space="preserve">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16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14. Bibliografía. (en orden alfabético)</w:t>
      </w:r>
    </w:p>
    <w:p w:rsidR="00000000" w:rsidDel="00000000" w:rsidP="00000000" w:rsidRDefault="00000000" w:rsidRPr="00000000" w14:paraId="00000170">
      <w:pPr>
        <w:shd w:fill="ffffff" w:val="clear"/>
        <w:spacing w:after="80" w:lineRule="auto"/>
        <w:ind w:firstLine="280"/>
        <w:jc w:val="both"/>
        <w:rPr>
          <w:color w:val="2f2f2f"/>
          <w:sz w:val="18"/>
          <w:szCs w:val="18"/>
          <w:u w:val="single"/>
        </w:rPr>
      </w:pPr>
      <w:r w:rsidDel="00000000" w:rsidR="00000000" w:rsidRPr="00000000">
        <w:rPr>
          <w:color w:val="2f2f2f"/>
          <w:sz w:val="18"/>
          <w:szCs w:val="18"/>
          <w:rtl w:val="0"/>
        </w:rPr>
        <w:t xml:space="preserve">- Báscolo E, Houghton N, del Riego A. Lógicas de transformación de los sistemas de salud en América Latina y resultados en acceso y cobertura de salud. Rev Panamericana Salud Publica. </w:t>
      </w:r>
      <w:r w:rsidDel="00000000" w:rsidR="00000000" w:rsidRPr="00000000">
        <w:rPr>
          <w:color w:val="2f2f2f"/>
          <w:sz w:val="18"/>
          <w:szCs w:val="18"/>
          <w:u w:val="single"/>
          <w:rtl w:val="0"/>
        </w:rPr>
        <w:t xml:space="preserve">2018;42:e126. https//doi.org/10.26633/RPSP.2018.126</w:t>
      </w:r>
    </w:p>
    <w:p w:rsidR="00000000" w:rsidDel="00000000" w:rsidP="00000000" w:rsidRDefault="00000000" w:rsidRPr="00000000" w14:paraId="000001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Nacional de Evaluación de la Política de Desarrollo Social. </w:t>
      </w:r>
      <w:r w:rsidDel="00000000" w:rsidR="00000000" w:rsidRPr="00000000">
        <w:rPr>
          <w:i w:val="1"/>
          <w:color w:val="2f2f2f"/>
          <w:sz w:val="18"/>
          <w:szCs w:val="18"/>
          <w:rtl w:val="0"/>
        </w:rPr>
        <w:t xml:space="preserve">Informe de Evaluación de la Política de Desarrollo Social 2018.</w:t>
      </w:r>
      <w:r w:rsidDel="00000000" w:rsidR="00000000" w:rsidRPr="00000000">
        <w:rPr>
          <w:color w:val="2f2f2f"/>
          <w:sz w:val="18"/>
          <w:szCs w:val="18"/>
          <w:rtl w:val="0"/>
        </w:rPr>
        <w:t xml:space="preserve"> Ciudad de México. 2018 (en: https://www.coneval.org.mx/Evaluación/IEPSM/Documents/IEPD_2018.pdf)</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de Salubridad General (CSG). Hacia la construcción del compendio nacional de medicamentos. Junio 2019.</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w:t>
      </w:r>
      <w:r w:rsidDel="00000000" w:rsidR="00000000" w:rsidRPr="00000000">
        <w:rPr>
          <w:color w:val="2f2f2f"/>
          <w:sz w:val="18"/>
          <w:szCs w:val="18"/>
          <w:u w:val="single"/>
          <w:rtl w:val="0"/>
        </w:rPr>
        <w:t xml:space="preserve">https://www.e-quipu.pe</w:t>
      </w:r>
      <w:r w:rsidDel="00000000" w:rsidR="00000000" w:rsidRPr="00000000">
        <w:rPr>
          <w:color w:val="2f2f2f"/>
          <w:sz w:val="18"/>
          <w:szCs w:val="18"/>
          <w:rtl w:val="0"/>
        </w:rPr>
        <w:t xml:space="preserve"> (visitado 17agosto/2019)</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w:t>
      </w:r>
      <w:r w:rsidDel="00000000" w:rsidR="00000000" w:rsidRPr="00000000">
        <w:rPr>
          <w:color w:val="2f2f2f"/>
          <w:sz w:val="18"/>
          <w:szCs w:val="18"/>
          <w:u w:val="single"/>
          <w:rtl w:val="0"/>
        </w:rPr>
        <w:t xml:space="preserve">http://www.scielo.br/scielo.php?script=sci_S0102-311X2017001405002)</w:t>
      </w:r>
      <w:r w:rsidDel="00000000" w:rsidR="00000000" w:rsidRPr="00000000">
        <w:rPr>
          <w:color w:val="2f2f2f"/>
          <w:sz w:val="18"/>
          <w:szCs w:val="18"/>
          <w:rtl w:val="0"/>
        </w:rPr>
        <w:t xml:space="preserve">.</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XXI:40 años de Alma Ata. Informe</w:t>
      </w:r>
    </w:p>
    <w:p w:rsidR="00000000" w:rsidDel="00000000" w:rsidP="00000000" w:rsidRDefault="00000000" w:rsidRPr="00000000" w14:paraId="00000185">
      <w:pPr>
        <w:shd w:fill="ffffff" w:val="clear"/>
        <w:spacing w:after="100" w:lineRule="auto"/>
        <w:jc w:val="both"/>
        <w:rPr>
          <w:color w:val="2f2f2f"/>
          <w:sz w:val="18"/>
          <w:szCs w:val="18"/>
        </w:rPr>
      </w:pPr>
      <w:r w:rsidDel="00000000" w:rsidR="00000000" w:rsidRPr="00000000">
        <w:rPr>
          <w:color w:val="2f2f2f"/>
          <w:sz w:val="18"/>
          <w:szCs w:val="18"/>
          <w:rtl w:val="0"/>
        </w:rPr>
        <w:t xml:space="preserve">de la Comisión de Alto Nivel. Ed. Revisada. Washington D.C.: OPS 2019.</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1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1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t>
      </w:r>
      <w:r w:rsidDel="00000000" w:rsidR="00000000" w:rsidRPr="00000000">
        <w:rPr>
          <w:color w:val="2f2f2f"/>
          <w:sz w:val="18"/>
          <w:szCs w:val="18"/>
          <w:u w:val="single"/>
          <w:rtl w:val="0"/>
        </w:rPr>
        <w:t xml:space="preserve">www.dgis.salud.gob.mx/descargas/xls/1._01_2017_A_CORR_O.xlsx</w:t>
      </w:r>
      <w:r w:rsidDel="00000000" w:rsidR="00000000" w:rsidRPr="00000000">
        <w:rPr>
          <w:color w:val="2f2f2f"/>
          <w:sz w:val="18"/>
          <w:szCs w:val="18"/>
          <w:rtl w:val="0"/>
        </w:rPr>
        <w:t xml:space="preserve"> México, agosto 2019.</w:t>
      </w:r>
    </w:p>
    <w:p w:rsidR="00000000" w:rsidDel="00000000" w:rsidP="00000000" w:rsidRDefault="00000000" w:rsidRPr="00000000" w14:paraId="000001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1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18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190">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APS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Primaria de Salud</w:t>
      </w:r>
    </w:p>
    <w:p w:rsidR="00000000" w:rsidDel="00000000" w:rsidP="00000000" w:rsidRDefault="00000000" w:rsidRPr="00000000" w14:paraId="00000191">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CAUSES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Universal de Servicios de Salud</w:t>
      </w:r>
    </w:p>
    <w:p w:rsidR="00000000" w:rsidDel="00000000" w:rsidP="00000000" w:rsidRDefault="00000000" w:rsidRPr="00000000" w14:paraId="00000192">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CS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de Salud</w:t>
      </w:r>
    </w:p>
    <w:p w:rsidR="00000000" w:rsidDel="00000000" w:rsidP="00000000" w:rsidRDefault="00000000" w:rsidRPr="00000000" w14:paraId="00000193">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CSG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Salubridad General</w:t>
      </w:r>
    </w:p>
    <w:p w:rsidR="00000000" w:rsidDel="00000000" w:rsidP="00000000" w:rsidRDefault="00000000" w:rsidRPr="00000000" w14:paraId="00000194">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ESB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Salud del Bienestar</w:t>
      </w:r>
    </w:p>
    <w:p w:rsidR="00000000" w:rsidDel="00000000" w:rsidP="00000000" w:rsidRDefault="00000000" w:rsidRPr="00000000" w14:paraId="00000195">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FPGC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Protección contra Gastos Catastróficos</w:t>
      </w:r>
    </w:p>
    <w:p w:rsidR="00000000" w:rsidDel="00000000" w:rsidP="00000000" w:rsidRDefault="00000000" w:rsidRPr="00000000" w14:paraId="00000196">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GPS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Público en Salud</w:t>
      </w:r>
    </w:p>
    <w:p w:rsidR="00000000" w:rsidDel="00000000" w:rsidP="00000000" w:rsidRDefault="00000000" w:rsidRPr="00000000" w14:paraId="00000197">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GTS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Total en Salud</w:t>
      </w:r>
    </w:p>
    <w:p w:rsidR="00000000" w:rsidDel="00000000" w:rsidP="00000000" w:rsidRDefault="00000000" w:rsidRPr="00000000" w14:paraId="00000198">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IMSS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199">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INSABI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Salud para el Bienestar</w:t>
      </w:r>
    </w:p>
    <w:p w:rsidR="00000000" w:rsidDel="00000000" w:rsidP="00000000" w:rsidRDefault="00000000" w:rsidRPr="00000000" w14:paraId="0000019A">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INSP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Salud Pública</w:t>
      </w:r>
    </w:p>
    <w:p w:rsidR="00000000" w:rsidDel="00000000" w:rsidP="00000000" w:rsidRDefault="00000000" w:rsidRPr="00000000" w14:paraId="0000019B">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ISSSTE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19C">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MAI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Integral a la Salud</w:t>
      </w:r>
    </w:p>
    <w:p w:rsidR="00000000" w:rsidDel="00000000" w:rsidP="00000000" w:rsidRDefault="00000000" w:rsidRPr="00000000" w14:paraId="0000019D">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MASPA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a la Salud para Población Abierta</w:t>
      </w:r>
    </w:p>
    <w:p w:rsidR="00000000" w:rsidDel="00000000" w:rsidP="00000000" w:rsidRDefault="00000000" w:rsidRPr="00000000" w14:paraId="0000019E">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MIDAS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Integrador de Atención a la Salud</w:t>
      </w:r>
    </w:p>
    <w:p w:rsidR="00000000" w:rsidDel="00000000" w:rsidP="00000000" w:rsidRDefault="00000000" w:rsidRPr="00000000" w14:paraId="0000019F">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MMDP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 Millones de Pesos</w:t>
      </w:r>
    </w:p>
    <w:p w:rsidR="00000000" w:rsidDel="00000000" w:rsidP="00000000" w:rsidRDefault="00000000" w:rsidRPr="00000000" w14:paraId="000001A0">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OCDE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Cooperación y el Desarrollo Económico</w:t>
      </w:r>
    </w:p>
    <w:p w:rsidR="00000000" w:rsidDel="00000000" w:rsidP="00000000" w:rsidRDefault="00000000" w:rsidRPr="00000000" w14:paraId="000001A1">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OMS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Mundial de la Salud</w:t>
      </w:r>
    </w:p>
    <w:p w:rsidR="00000000" w:rsidDel="00000000" w:rsidP="00000000" w:rsidRDefault="00000000" w:rsidRPr="00000000" w14:paraId="000001A2">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OPS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Panamericana de la Salud</w:t>
      </w:r>
    </w:p>
    <w:p w:rsidR="00000000" w:rsidDel="00000000" w:rsidP="00000000" w:rsidRDefault="00000000" w:rsidRPr="00000000" w14:paraId="000001A3">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PEMEX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w:t>
      </w:r>
    </w:p>
    <w:p w:rsidR="00000000" w:rsidDel="00000000" w:rsidP="00000000" w:rsidRDefault="00000000" w:rsidRPr="00000000" w14:paraId="000001A4">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PIB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 Interno Bruto</w:t>
      </w:r>
    </w:p>
    <w:p w:rsidR="00000000" w:rsidDel="00000000" w:rsidP="00000000" w:rsidRDefault="00000000" w:rsidRPr="00000000" w14:paraId="000001A5">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RISS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Redes Integradas de Servicios de Salud</w:t>
      </w:r>
    </w:p>
    <w:p w:rsidR="00000000" w:rsidDel="00000000" w:rsidP="00000000" w:rsidRDefault="00000000" w:rsidRPr="00000000" w14:paraId="000001A6">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SABI (Modelo)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Salud para el Bienestar</w:t>
      </w:r>
    </w:p>
    <w:p w:rsidR="00000000" w:rsidDel="00000000" w:rsidP="00000000" w:rsidRDefault="00000000" w:rsidRPr="00000000" w14:paraId="000001A7">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SEDENA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Defensa Nacional</w:t>
      </w:r>
    </w:p>
    <w:p w:rsidR="00000000" w:rsidDel="00000000" w:rsidP="00000000" w:rsidRDefault="00000000" w:rsidRPr="00000000" w14:paraId="000001A8">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SHCP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1A9">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A">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SEMAR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Marina</w:t>
      </w:r>
    </w:p>
    <w:p w:rsidR="00000000" w:rsidDel="00000000" w:rsidP="00000000" w:rsidRDefault="00000000" w:rsidRPr="00000000" w14:paraId="000001AB">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Tb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Tuberculosis</w:t>
      </w:r>
    </w:p>
    <w:p w:rsidR="00000000" w:rsidDel="00000000" w:rsidP="00000000" w:rsidRDefault="00000000" w:rsidRPr="00000000" w14:paraId="000001AC">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UMR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Rural</w:t>
      </w:r>
    </w:p>
    <w:p w:rsidR="00000000" w:rsidDel="00000000" w:rsidP="00000000" w:rsidRDefault="00000000" w:rsidRPr="00000000" w14:paraId="000001AD">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UNICEF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las Naciones Unidas para la Infancia</w:t>
      </w:r>
    </w:p>
    <w:p w:rsidR="00000000" w:rsidDel="00000000" w:rsidP="00000000" w:rsidRDefault="00000000" w:rsidRPr="00000000" w14:paraId="000001AE">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VIH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Virus de la Inmunodeficiencia Humana</w:t>
      </w:r>
    </w:p>
    <w:p w:rsidR="00000000" w:rsidDel="00000000" w:rsidP="00000000" w:rsidRDefault="00000000" w:rsidRPr="00000000" w14:paraId="000001AF">
      <w:pPr>
        <w:shd w:fill="ffffff" w:val="clear"/>
        <w:spacing w:after="80" w:lineRule="auto"/>
        <w:ind w:left="3500" w:hanging="1600"/>
        <w:jc w:val="both"/>
        <w:rPr>
          <w:color w:val="2f2f2f"/>
          <w:sz w:val="18"/>
          <w:szCs w:val="18"/>
        </w:rPr>
      </w:pPr>
      <w:r w:rsidDel="00000000" w:rsidR="00000000" w:rsidRPr="00000000">
        <w:rPr>
          <w:color w:val="2f2f2f"/>
          <w:sz w:val="18"/>
          <w:szCs w:val="18"/>
          <w:rtl w:val="0"/>
        </w:rPr>
        <w:t xml:space="preserve">4 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Cuarta Transformación de la república mexicana (gobierno de la)</w:t>
      </w:r>
    </w:p>
    <w:p w:rsidR="00000000" w:rsidDel="00000000" w:rsidP="00000000" w:rsidRDefault="00000000" w:rsidRPr="00000000" w14:paraId="000001B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Diego Sinhue Rodríguez Vallejo</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Luis Ernesto Ayala Torres</w:t>
      </w:r>
      <w:r w:rsidDel="00000000" w:rsidR="00000000" w:rsidRPr="00000000">
        <w:rPr>
          <w:color w:val="2f2f2f"/>
          <w:sz w:val="18"/>
          <w:szCs w:val="18"/>
          <w:rtl w:val="0"/>
        </w:rPr>
        <w:t xml:space="preserve">.- Rúbrica.- El Secretario de Finanzas, Inversión y Administración, </w:t>
      </w:r>
      <w:r w:rsidDel="00000000" w:rsidR="00000000" w:rsidRPr="00000000">
        <w:rPr>
          <w:b w:val="1"/>
          <w:color w:val="2f2f2f"/>
          <w:sz w:val="18"/>
          <w:szCs w:val="18"/>
          <w:rtl w:val="0"/>
        </w:rPr>
        <w:t xml:space="preserve">Héctor Salgado Banda</w:t>
      </w:r>
      <w:r w:rsidDel="00000000" w:rsidR="00000000" w:rsidRPr="00000000">
        <w:rPr>
          <w:color w:val="2f2f2f"/>
          <w:sz w:val="18"/>
          <w:szCs w:val="18"/>
          <w:rtl w:val="0"/>
        </w:rPr>
        <w:t xml:space="preserve">.- Rúbrica.- El Secretario de Salud y Director General del Instituto de Salud Pública del Estado de Guanajuato, </w:t>
      </w:r>
      <w:r w:rsidDel="00000000" w:rsidR="00000000" w:rsidRPr="00000000">
        <w:rPr>
          <w:b w:val="1"/>
          <w:color w:val="2f2f2f"/>
          <w:sz w:val="18"/>
          <w:szCs w:val="18"/>
          <w:rtl w:val="0"/>
        </w:rPr>
        <w:t xml:space="preserve">Daniel Alberto Díaz Martínez</w:t>
      </w:r>
      <w:r w:rsidDel="00000000" w:rsidR="00000000" w:rsidRPr="00000000">
        <w:rPr>
          <w:color w:val="2f2f2f"/>
          <w:sz w:val="18"/>
          <w:szCs w:val="18"/>
          <w:rtl w:val="0"/>
        </w:rPr>
        <w:t xml:space="preserve">.- Rúbrica.- La Secretaria de la Transparencia y Rendición de Cuentas, </w:t>
      </w:r>
      <w:r w:rsidDel="00000000" w:rsidR="00000000" w:rsidRPr="00000000">
        <w:rPr>
          <w:b w:val="1"/>
          <w:color w:val="2f2f2f"/>
          <w:sz w:val="18"/>
          <w:szCs w:val="18"/>
          <w:rtl w:val="0"/>
        </w:rPr>
        <w:t xml:space="preserve">Marisol de Lourdes Ruenes Torres</w:t>
      </w:r>
      <w:r w:rsidDel="00000000" w:rsidR="00000000" w:rsidRPr="00000000">
        <w:rPr>
          <w:color w:val="2f2f2f"/>
          <w:sz w:val="18"/>
          <w:szCs w:val="18"/>
          <w:rtl w:val="0"/>
        </w:rPr>
        <w:t xml:space="preserve">.- Rúbrica.</w:t>
      </w:r>
    </w:p>
    <w:p w:rsidR="00000000" w:rsidDel="00000000" w:rsidP="00000000" w:rsidRDefault="00000000" w:rsidRPr="00000000" w14:paraId="000001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2 del Acuerdo de Coordinación para garantizar la prestación gratuita de servicios de salud, medicamentos y demás insumos asociados para las personas sin seguridad social en los términos previstos en el Título Tercero bis de la Ley General de Salud </w:t>
      </w:r>
      <w:r w:rsidDel="00000000" w:rsidR="00000000" w:rsidRPr="00000000">
        <w:rPr>
          <w:b w:val="1"/>
          <w:sz w:val="18"/>
          <w:szCs w:val="18"/>
          <w:rtl w:val="0"/>
        </w:rPr>
        <w:t xml:space="preserve">celebrado por el Instituto de Salud para el Bienestar y el Gobierno del Estado de</w:t>
      </w:r>
      <w:r w:rsidDel="00000000" w:rsidR="00000000" w:rsidRPr="00000000">
        <w:rPr>
          <w:b w:val="1"/>
          <w:color w:val="2f2f2f"/>
          <w:sz w:val="18"/>
          <w:szCs w:val="18"/>
          <w:rtl w:val="0"/>
        </w:rPr>
        <w:t xml:space="preserve"> Guanajuato</w:t>
      </w:r>
    </w:p>
    <w:p w:rsidR="00000000" w:rsidDel="00000000" w:rsidP="00000000" w:rsidRDefault="00000000" w:rsidRPr="00000000" w14:paraId="000001B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w:t>
      </w:r>
    </w:p>
    <w:p w:rsidR="00000000" w:rsidDel="00000000" w:rsidP="00000000" w:rsidRDefault="00000000" w:rsidRPr="00000000" w14:paraId="000001B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y Conceptos de Gasto.</w:t>
      </w:r>
    </w:p>
    <w:p w:rsidR="00000000" w:rsidDel="00000000" w:rsidP="00000000" w:rsidRDefault="00000000" w:rsidRPr="00000000" w14:paraId="000001B4">
      <w:pPr>
        <w:shd w:fill="ffffff" w:val="clear"/>
        <w:spacing w:after="100" w:lineRule="auto"/>
        <w:ind w:firstLine="280"/>
        <w:jc w:val="both"/>
        <w:rPr>
          <w:b w:val="1"/>
          <w:sz w:val="18"/>
          <w:szCs w:val="18"/>
        </w:rPr>
      </w:pPr>
      <w:r w:rsidDel="00000000" w:rsidR="00000000" w:rsidRPr="00000000">
        <w:rPr>
          <w:b w:val="1"/>
          <w:sz w:val="18"/>
          <w:szCs w:val="18"/>
          <w:rtl w:val="0"/>
        </w:rPr>
        <w:t xml:space="preserve">1. Monto de los recursos presupuestarios federales a transferir.</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de "LOS SERVICIOS DE SALUD", durante el presente ejercicio fiscal 2020, con estricta sujeción a la disponibilidad presupuestaria correspondiente, es por la cantidad de hasta $ 3,925,192,226.92 (Tres mil novecientos veinticinco millones ciento noventa y dos mil doscientos veintiséis pesos 92/100 MN).</w:t>
      </w:r>
    </w:p>
    <w:p w:rsidR="00000000" w:rsidDel="00000000" w:rsidP="00000000" w:rsidRDefault="00000000" w:rsidRPr="00000000" w14:paraId="000001B6">
      <w:pPr>
        <w:shd w:fill="ffffff" w:val="clear"/>
        <w:spacing w:after="100" w:lineRule="auto"/>
        <w:ind w:firstLine="280"/>
        <w:jc w:val="both"/>
        <w:rPr>
          <w:b w:val="1"/>
          <w:sz w:val="18"/>
          <w:szCs w:val="18"/>
        </w:rPr>
      </w:pPr>
      <w:r w:rsidDel="00000000" w:rsidR="00000000" w:rsidRPr="00000000">
        <w:rPr>
          <w:b w:val="1"/>
          <w:sz w:val="18"/>
          <w:szCs w:val="18"/>
          <w:rtl w:val="0"/>
        </w:rPr>
        <w:t xml:space="preserve">2. Calendario de ministración de los recursos presupuestarios federales.</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mencionadas transferencias deberán sujetarse a lo estipulado en el apartado B de la Cláusula Segunda del Acuerdo de Coordinación del que forma parte el presente Anexo.</w:t>
      </w:r>
    </w:p>
    <w:p w:rsidR="00000000" w:rsidDel="00000000" w:rsidP="00000000" w:rsidRDefault="00000000" w:rsidRPr="00000000" w14:paraId="000001B9">
      <w:pPr>
        <w:shd w:fill="ffffff" w:val="clear"/>
        <w:spacing w:after="100" w:lineRule="auto"/>
        <w:ind w:firstLine="280"/>
        <w:jc w:val="both"/>
        <w:rPr>
          <w:b w:val="1"/>
          <w:sz w:val="18"/>
          <w:szCs w:val="18"/>
        </w:rPr>
      </w:pPr>
      <w:r w:rsidDel="00000000" w:rsidR="00000000" w:rsidRPr="00000000">
        <w:rPr>
          <w:b w:val="1"/>
          <w:sz w:val="18"/>
          <w:szCs w:val="18"/>
          <w:rtl w:val="0"/>
        </w:rPr>
        <w:t xml:space="preserve">3. Distribución de los recursos presupuestarios federales transferidos.</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presupuestarios federales que el "INSABI" transfiera a "LA ENTIDAD", para la prestación de "LOS SERVICIOS DE SALUD" se sujetará a las bases siguientes:</w:t>
      </w:r>
    </w:p>
    <w:p w:rsidR="00000000" w:rsidDel="00000000" w:rsidP="00000000" w:rsidRDefault="00000000" w:rsidRPr="00000000" w14:paraId="000001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1B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"LOS SERVICIOS DE SALUD" a las personas sin seguridad social.</w:t>
      </w:r>
    </w:p>
    <w:p w:rsidR="00000000" w:rsidDel="00000000" w:rsidP="00000000" w:rsidRDefault="00000000" w:rsidRPr="00000000" w14:paraId="000001B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DE SALUD", preferentemente en el primer nivel de atención, que permitan la implementación, fortalecimiento y consolidación del Modelo de Atención.</w:t>
      </w:r>
    </w:p>
    <w:p w:rsidR="00000000" w:rsidDel="00000000" w:rsidP="00000000" w:rsidRDefault="00000000" w:rsidRPr="00000000" w14:paraId="000001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DE SALUD".</w:t>
      </w:r>
    </w:p>
    <w:p w:rsidR="00000000" w:rsidDel="00000000" w:rsidP="00000000" w:rsidRDefault="00000000" w:rsidRPr="00000000" w14:paraId="000001B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18 por ciento, para gasto de operación de las unidades médicas de "LA ENTIDAD" que realicen la prestación de "LOS SERVICIOS DE SALUD".</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1C4">
      <w:pPr>
        <w:shd w:fill="ffffff" w:val="clear"/>
        <w:spacing w:after="100" w:lineRule="auto"/>
        <w:ind w:firstLine="280"/>
        <w:jc w:val="both"/>
        <w:rPr>
          <w:b w:val="1"/>
          <w:sz w:val="18"/>
          <w:szCs w:val="18"/>
        </w:rPr>
      </w:pPr>
      <w:r w:rsidDel="00000000" w:rsidR="00000000" w:rsidRPr="00000000">
        <w:rPr>
          <w:b w:val="1"/>
          <w:sz w:val="18"/>
          <w:szCs w:val="18"/>
          <w:rtl w:val="0"/>
        </w:rPr>
        <w:t xml:space="preserve">4. Conceptos de gasto de los recursos presupuestarios federales transferidos.</w:t>
      </w:r>
    </w:p>
    <w:p w:rsidR="00000000" w:rsidDel="00000000" w:rsidP="00000000" w:rsidRDefault="00000000" w:rsidRPr="00000000" w14:paraId="000001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1C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w:t>
      </w:r>
    </w:p>
    <w:p w:rsidR="00000000" w:rsidDel="00000000" w:rsidP="00000000" w:rsidRDefault="00000000" w:rsidRPr="00000000" w14:paraId="000001C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1C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DE SALUD",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1C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por lo que "LA ENTIDAD" se compromete a cumplir con lo señalado en el transitorio cuadragésimo tercero de la Ley del Instituto de Seguridad y Servicios Sociales de los Trabajadores del Estado.</w:t>
      </w:r>
    </w:p>
    <w:p w:rsidR="00000000" w:rsidDel="00000000" w:rsidP="00000000" w:rsidRDefault="00000000" w:rsidRPr="00000000" w14:paraId="000001C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DE SALUD".</w:t>
      </w:r>
    </w:p>
    <w:p w:rsidR="00000000" w:rsidDel="00000000" w:rsidP="00000000" w:rsidRDefault="00000000" w:rsidRPr="00000000" w14:paraId="000001C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1C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1CD">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Nombre del empleado.</w:t>
      </w:r>
    </w:p>
    <w:p w:rsidR="00000000" w:rsidDel="00000000" w:rsidP="00000000" w:rsidRDefault="00000000" w:rsidRPr="00000000" w14:paraId="000001CE">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Cédula profesional.</w:t>
      </w:r>
    </w:p>
    <w:p w:rsidR="00000000" w:rsidDel="00000000" w:rsidP="00000000" w:rsidRDefault="00000000" w:rsidRPr="00000000" w14:paraId="000001CF">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Unidad Médica de Adscripción</w:t>
      </w:r>
    </w:p>
    <w:p w:rsidR="00000000" w:rsidDel="00000000" w:rsidP="00000000" w:rsidRDefault="00000000" w:rsidRPr="00000000" w14:paraId="000001D0">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Tipo de Unidad y Clave Única de Establecimientos de Salud (CLUES)</w:t>
      </w:r>
    </w:p>
    <w:p w:rsidR="00000000" w:rsidDel="00000000" w:rsidP="00000000" w:rsidRDefault="00000000" w:rsidRPr="00000000" w14:paraId="000001D1">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Número de empleado.</w:t>
      </w:r>
    </w:p>
    <w:p w:rsidR="00000000" w:rsidDel="00000000" w:rsidP="00000000" w:rsidRDefault="00000000" w:rsidRPr="00000000" w14:paraId="000001D2">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Año, mes y quincena.</w:t>
      </w:r>
    </w:p>
    <w:p w:rsidR="00000000" w:rsidDel="00000000" w:rsidP="00000000" w:rsidRDefault="00000000" w:rsidRPr="00000000" w14:paraId="000001D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4">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Entidad federativa.</w:t>
      </w:r>
    </w:p>
    <w:p w:rsidR="00000000" w:rsidDel="00000000" w:rsidP="00000000" w:rsidRDefault="00000000" w:rsidRPr="00000000" w14:paraId="000001D5">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R.F.C.</w:t>
      </w:r>
    </w:p>
    <w:p w:rsidR="00000000" w:rsidDel="00000000" w:rsidP="00000000" w:rsidRDefault="00000000" w:rsidRPr="00000000" w14:paraId="000001D6">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C.U.R.P.</w:t>
      </w:r>
    </w:p>
    <w:p w:rsidR="00000000" w:rsidDel="00000000" w:rsidP="00000000" w:rsidRDefault="00000000" w:rsidRPr="00000000" w14:paraId="000001D7">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Fecha de inicio de la relación laboral.</w:t>
      </w:r>
    </w:p>
    <w:p w:rsidR="00000000" w:rsidDel="00000000" w:rsidP="00000000" w:rsidRDefault="00000000" w:rsidRPr="00000000" w14:paraId="000001D8">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Tipo de contratación.</w:t>
      </w:r>
    </w:p>
    <w:p w:rsidR="00000000" w:rsidDel="00000000" w:rsidP="00000000" w:rsidRDefault="00000000" w:rsidRPr="00000000" w14:paraId="000001D9">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Nivel y puesto o plaza.</w:t>
      </w:r>
    </w:p>
    <w:p w:rsidR="00000000" w:rsidDel="00000000" w:rsidP="00000000" w:rsidRDefault="00000000" w:rsidRPr="00000000" w14:paraId="000001DA">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Clave del puesto o plaza.</w:t>
      </w:r>
    </w:p>
    <w:p w:rsidR="00000000" w:rsidDel="00000000" w:rsidP="00000000" w:rsidRDefault="00000000" w:rsidRPr="00000000" w14:paraId="000001DB">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Turno.</w:t>
      </w:r>
    </w:p>
    <w:p w:rsidR="00000000" w:rsidDel="00000000" w:rsidP="00000000" w:rsidRDefault="00000000" w:rsidRPr="00000000" w14:paraId="000001DC">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Rama.</w:t>
      </w:r>
    </w:p>
    <w:p w:rsidR="00000000" w:rsidDel="00000000" w:rsidP="00000000" w:rsidRDefault="00000000" w:rsidRPr="00000000" w14:paraId="000001DD">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Percepción bruta total.</w:t>
      </w:r>
    </w:p>
    <w:p w:rsidR="00000000" w:rsidDel="00000000" w:rsidP="00000000" w:rsidRDefault="00000000" w:rsidRPr="00000000" w14:paraId="000001DE">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Total de deducciones.</w:t>
      </w:r>
    </w:p>
    <w:p w:rsidR="00000000" w:rsidDel="00000000" w:rsidP="00000000" w:rsidRDefault="00000000" w:rsidRPr="00000000" w14:paraId="000001DF">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Percepciones netas.</w:t>
      </w:r>
    </w:p>
    <w:p w:rsidR="00000000" w:rsidDel="00000000" w:rsidP="00000000" w:rsidRDefault="00000000" w:rsidRPr="00000000" w14:paraId="000001E0">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Fecha del timbrado.</w:t>
      </w:r>
    </w:p>
    <w:p w:rsidR="00000000" w:rsidDel="00000000" w:rsidP="00000000" w:rsidRDefault="00000000" w:rsidRPr="00000000" w14:paraId="000001E1">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ID factura.</w:t>
      </w:r>
    </w:p>
    <w:p w:rsidR="00000000" w:rsidDel="00000000" w:rsidP="00000000" w:rsidRDefault="00000000" w:rsidRPr="00000000" w14:paraId="000001E2">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Concepto de pago.</w:t>
      </w:r>
    </w:p>
    <w:p w:rsidR="00000000" w:rsidDel="00000000" w:rsidP="00000000" w:rsidRDefault="00000000" w:rsidRPr="00000000" w14:paraId="000001E3">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Estatus de incidencia.</w:t>
      </w:r>
    </w:p>
    <w:p w:rsidR="00000000" w:rsidDel="00000000" w:rsidP="00000000" w:rsidRDefault="00000000" w:rsidRPr="00000000" w14:paraId="000001E4">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Descripción de la incidencia.</w:t>
      </w:r>
    </w:p>
    <w:p w:rsidR="00000000" w:rsidDel="00000000" w:rsidP="00000000" w:rsidRDefault="00000000" w:rsidRPr="00000000" w14:paraId="000001E5">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su caso, fecha de baja de la relación laboral.</w:t>
      </w:r>
    </w:p>
    <w:p w:rsidR="00000000" w:rsidDel="00000000" w:rsidP="00000000" w:rsidRDefault="00000000" w:rsidRPr="00000000" w14:paraId="000001E6">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Cualquier otro dato que el INSABI solicite para efectos de comprobación.</w:t>
      </w:r>
    </w:p>
    <w:p w:rsidR="00000000" w:rsidDel="00000000" w:rsidP="00000000" w:rsidRDefault="00000000" w:rsidRPr="00000000" w14:paraId="000001E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1E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Guanajuato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1E9">
      <w:pPr>
        <w:shd w:fill="ffffff" w:val="clear"/>
        <w:spacing w:after="100" w:lineRule="auto"/>
        <w:ind w:left="1160" w:hanging="44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Guanajuato</w:t>
      </w:r>
      <w:r w:rsidDel="00000000" w:rsidR="00000000" w:rsidRPr="00000000">
        <w:rPr>
          <w:i w:val="1"/>
          <w:color w:val="2f2f2f"/>
          <w:sz w:val="18"/>
          <w:szCs w:val="18"/>
          <w:rtl w:val="0"/>
        </w:rPr>
        <w:t xml:space="preserve">.</w:t>
      </w:r>
    </w:p>
    <w:p w:rsidR="00000000" w:rsidDel="00000000" w:rsidP="00000000" w:rsidRDefault="00000000" w:rsidRPr="00000000" w14:paraId="000001EA">
      <w:pPr>
        <w:shd w:fill="ffffff" w:val="clear"/>
        <w:spacing w:after="10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Adquisición y distribución de medicamentos, material de curación y otros insumos.</w:t>
      </w:r>
    </w:p>
    <w:p w:rsidR="00000000" w:rsidDel="00000000" w:rsidP="00000000" w:rsidRDefault="00000000" w:rsidRPr="00000000" w14:paraId="000001EB">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 El ejercicio de estos recursos estará sujeto a las disposiciones del Título Tercero Bis de la Ley General de Salud y demás disposiciones jurídicas que resulten aplicables.</w:t>
      </w:r>
    </w:p>
    <w:p w:rsidR="00000000" w:rsidDel="00000000" w:rsidP="00000000" w:rsidRDefault="00000000" w:rsidRPr="00000000" w14:paraId="000001EC">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Sin perjuicio de lo anterior, "LAS PARTES" manifiestan su conformidad para que el "INSABI" retenga los recursos presupuestarios federales correspondientes y los entregue en especie a "LA ENTIDAD", exclusivamente respecto de las acciones de prevención de enfermedades y promoción de la salud que corresponda a los programas a cargo de la Subsecretaría de Prevención y Promoción de la Salud de la Secretaría de Salud del Gobierno Federal. El detalle de medicamentos y demás insumos asociados a dichas acciones, se incluirán en el Apéndice I del presente Anexo, del que formarán parte integrante, una vez que el mismo sea formalizado por "LAS PARTES".</w:t>
      </w:r>
    </w:p>
    <w:p w:rsidR="00000000" w:rsidDel="00000000" w:rsidP="00000000" w:rsidRDefault="00000000" w:rsidRPr="00000000" w14:paraId="000001ED">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Conforme a lo anterior, "LAS PARTES" están conformes en que será responsabilidad de "LA ENTIDAD" la correcta planeación y programación de los recursos asociados a "LOS SERVICIOS DE</w:t>
      </w:r>
    </w:p>
    <w:p w:rsidR="00000000" w:rsidDel="00000000" w:rsidP="00000000" w:rsidRDefault="00000000" w:rsidRPr="00000000" w14:paraId="000001EE">
      <w:pPr>
        <w:shd w:fill="ffffff" w:val="clear"/>
        <w:spacing w:after="100" w:lineRule="auto"/>
        <w:ind w:left="720" w:firstLine="0"/>
        <w:jc w:val="both"/>
        <w:rPr>
          <w:sz w:val="18"/>
          <w:szCs w:val="18"/>
        </w:rPr>
      </w:pPr>
      <w:r w:rsidDel="00000000" w:rsidR="00000000" w:rsidRPr="00000000">
        <w:rPr>
          <w:sz w:val="18"/>
          <w:szCs w:val="18"/>
          <w:rtl w:val="0"/>
        </w:rPr>
        <w:t xml:space="preserve">SALUD", conforme a lo siguiente:</w:t>
      </w:r>
    </w:p>
    <w:p w:rsidR="00000000" w:rsidDel="00000000" w:rsidP="00000000" w:rsidRDefault="00000000" w:rsidRPr="00000000" w14:paraId="000001EF">
      <w:pPr>
        <w:shd w:fill="ffffff" w:val="clear"/>
        <w:spacing w:after="100" w:lineRule="auto"/>
        <w:ind w:left="1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Acciones de promoción, prevención y detección oportuna de enfermedades.</w:t>
      </w:r>
    </w:p>
    <w:p w:rsidR="00000000" w:rsidDel="00000000" w:rsidP="00000000" w:rsidRDefault="00000000" w:rsidRPr="00000000" w14:paraId="000001F0">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1F1">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1F2">
      <w:pPr>
        <w:shd w:fill="ffffff" w:val="clear"/>
        <w:spacing w:after="100" w:lineRule="auto"/>
        <w:ind w:left="1160" w:hanging="44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Gastos de operación.</w:t>
      </w:r>
    </w:p>
    <w:p w:rsidR="00000000" w:rsidDel="00000000" w:rsidP="00000000" w:rsidRDefault="00000000" w:rsidRPr="00000000" w14:paraId="000001F3">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 los recursos presupuestarios federales que se transfieran a "LA ENTIDAD" para la prestación de "LOS SERVICIOS DE SALUD", al menos un 18 por ciento se podrá destinar para gasto de operación de las unidades médicas de "LA ENTIDAD" que realicen la prestación de "LOS SERVICIOS DE SALUD".</w:t>
      </w:r>
    </w:p>
    <w:p w:rsidR="00000000" w:rsidDel="00000000" w:rsidP="00000000" w:rsidRDefault="00000000" w:rsidRPr="00000000" w14:paraId="000001F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Este concepto de gasto incluye lo siguiente:</w:t>
      </w:r>
    </w:p>
    <w:p w:rsidR="00000000" w:rsidDel="00000000" w:rsidP="00000000" w:rsidRDefault="00000000" w:rsidRPr="00000000" w14:paraId="000001F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Guanajuato, relacionado exclusivamente con la prestación de "LOS SERVICIOS DE SALUD".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pago de servicios subrogados necesarios para la prestación de "LOS SERVICIOS DE SALUD",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1F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exclusivamente computadoras, impresoras e insumos asociados.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1FA">
      <w:pPr>
        <w:shd w:fill="ffffff" w:val="clear"/>
        <w:spacing w:after="100" w:lineRule="auto"/>
        <w:ind w:left="182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Titular de los Servicios Estatales de Salud del Estado de </w:t>
      </w:r>
      <w:r w:rsidDel="00000000" w:rsidR="00000000" w:rsidRPr="00000000">
        <w:rPr>
          <w:color w:val="2f2f2f"/>
          <w:sz w:val="18"/>
          <w:szCs w:val="18"/>
          <w:rtl w:val="0"/>
        </w:rPr>
        <w:t xml:space="preserve">Guanajuato,</w:t>
      </w:r>
      <w:r w:rsidDel="00000000" w:rsidR="00000000" w:rsidRPr="00000000">
        <w:rPr>
          <w:sz w:val="18"/>
          <w:szCs w:val="18"/>
          <w:rtl w:val="0"/>
        </w:rPr>
        <w:t xml:space="preserve"> dirigida al "INSABI", en la cual manifieste que se efectuó una adecuada</w:t>
      </w:r>
    </w:p>
    <w:p w:rsidR="00000000" w:rsidDel="00000000" w:rsidP="00000000" w:rsidRDefault="00000000" w:rsidRPr="00000000" w14:paraId="000001FB">
      <w:pPr>
        <w:shd w:fill="ffffff" w:val="clear"/>
        <w:spacing w:after="100" w:lineRule="auto"/>
        <w:ind w:left="1460" w:firstLine="0"/>
        <w:jc w:val="both"/>
        <w:rPr>
          <w:sz w:val="18"/>
          <w:szCs w:val="18"/>
        </w:rPr>
      </w:pPr>
      <w:r w:rsidDel="00000000" w:rsidR="00000000" w:rsidRPr="00000000">
        <w:rPr>
          <w:sz w:val="18"/>
          <w:szCs w:val="18"/>
          <w:rtl w:val="0"/>
        </w:rPr>
        <w:t xml:space="preserve">planeación de los recursos para garantizar que los destinados a acciones de conservación y mantenimiento de las unidades médicas, vinculadas a la prestación de "LOS SERVICIOS DE SALUD", no presentan un impacto adverso en el financiamiento del resto de los conceptos de gasto previstos en el presente Anexo.</w:t>
      </w:r>
    </w:p>
    <w:p w:rsidR="00000000" w:rsidDel="00000000" w:rsidP="00000000" w:rsidRDefault="00000000" w:rsidRPr="00000000" w14:paraId="000001FC">
      <w:pPr>
        <w:shd w:fill="ffffff" w:val="clear"/>
        <w:spacing w:after="100" w:lineRule="auto"/>
        <w:ind w:left="182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1FD">
      <w:pPr>
        <w:shd w:fill="ffffff" w:val="clear"/>
        <w:spacing w:after="100" w:lineRule="auto"/>
        <w:ind w:left="182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1FE">
      <w:pPr>
        <w:shd w:fill="ffffff" w:val="clear"/>
        <w:spacing w:after="100" w:lineRule="auto"/>
        <w:ind w:left="182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1F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200">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Segunda del Acuerdo de Coordinación del que forma parte el presente Anexo, para la compensación económica entre entidades federativas, instituciones y establecimientos del Sistema Nacional de Salud, por concepto de la prestación de "LOS SERVICIOS DE SALUD".</w:t>
      </w:r>
    </w:p>
    <w:p w:rsidR="00000000" w:rsidDel="00000000" w:rsidP="00000000" w:rsidRDefault="00000000" w:rsidRPr="00000000" w14:paraId="00000201">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202">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203">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por conducto del Titular de los Servicios de Salud del Estado de Guanajuato,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204">
      <w:pPr>
        <w:shd w:fill="ffffff" w:val="clear"/>
        <w:spacing w:after="80" w:lineRule="auto"/>
        <w:ind w:firstLine="280"/>
        <w:jc w:val="both"/>
        <w:rPr>
          <w:b w:val="1"/>
          <w:sz w:val="18"/>
          <w:szCs w:val="18"/>
        </w:rPr>
      </w:pPr>
      <w:r w:rsidDel="00000000" w:rsidR="00000000" w:rsidRPr="00000000">
        <w:rPr>
          <w:b w:val="1"/>
          <w:sz w:val="18"/>
          <w:szCs w:val="18"/>
          <w:rtl w:val="0"/>
        </w:rPr>
        <w:t xml:space="preserve">5. Partidas de gasto.</w:t>
      </w:r>
    </w:p>
    <w:p w:rsidR="00000000" w:rsidDel="00000000" w:rsidP="00000000" w:rsidRDefault="00000000" w:rsidRPr="00000000" w14:paraId="00000205">
      <w:pPr>
        <w:shd w:fill="ffffff" w:val="clear"/>
        <w:spacing w:after="80" w:lineRule="auto"/>
        <w:ind w:firstLine="280"/>
        <w:jc w:val="both"/>
        <w:rPr>
          <w:color w:val="2f2f2f"/>
          <w:sz w:val="18"/>
          <w:szCs w:val="18"/>
        </w:rPr>
      </w:pPr>
      <w:r w:rsidDel="00000000" w:rsidR="00000000" w:rsidRPr="00000000">
        <w:rPr>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w:t>
      </w:r>
      <w:r w:rsidDel="00000000" w:rsidR="00000000" w:rsidRPr="00000000">
        <w:rPr>
          <w:color w:val="2f2f2f"/>
          <w:sz w:val="18"/>
          <w:szCs w:val="18"/>
          <w:rtl w:val="0"/>
        </w:rPr>
        <w:t xml:space="preserve">Guanajuato.</w:t>
      </w:r>
    </w:p>
    <w:p w:rsidR="00000000" w:rsidDel="00000000" w:rsidP="00000000" w:rsidRDefault="00000000" w:rsidRPr="00000000" w14:paraId="00000206">
      <w:pPr>
        <w:shd w:fill="ffffff" w:val="clear"/>
        <w:spacing w:after="80" w:lineRule="auto"/>
        <w:ind w:firstLine="280"/>
        <w:jc w:val="both"/>
        <w:rPr>
          <w:b w:val="1"/>
          <w:sz w:val="18"/>
          <w:szCs w:val="18"/>
        </w:rPr>
      </w:pPr>
      <w:r w:rsidDel="00000000" w:rsidR="00000000" w:rsidRPr="00000000">
        <w:rPr>
          <w:b w:val="1"/>
          <w:sz w:val="18"/>
          <w:szCs w:val="18"/>
          <w:rtl w:val="0"/>
        </w:rPr>
        <w:t xml:space="preserve">6. Programación de los recursos.</w:t>
      </w:r>
    </w:p>
    <w:p w:rsidR="00000000" w:rsidDel="00000000" w:rsidP="00000000" w:rsidRDefault="00000000" w:rsidRPr="00000000" w14:paraId="000002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ENTIDAD" se obliga, por conducto del Titular de los Servicios de Salud del Estado de Guanajuato y del Director Administrativo de dicho organismo local, a enviar al "INSABI" la programación del gasto dentro del primer trimestre del año, para vigilar el apego a los porcentajes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208">
      <w:pPr>
        <w:shd w:fill="ffffff" w:val="clear"/>
        <w:spacing w:after="80" w:lineRule="auto"/>
        <w:ind w:firstLine="280"/>
        <w:jc w:val="both"/>
        <w:rPr>
          <w:b w:val="1"/>
          <w:sz w:val="18"/>
          <w:szCs w:val="18"/>
        </w:rPr>
      </w:pPr>
      <w:r w:rsidDel="00000000" w:rsidR="00000000" w:rsidRPr="00000000">
        <w:rPr>
          <w:b w:val="1"/>
          <w:sz w:val="18"/>
          <w:szCs w:val="18"/>
          <w:rtl w:val="0"/>
        </w:rPr>
        <w:t xml:space="preserve">7. Información del ejercicio de los recursos presupuestarios federales transferidos.</w:t>
      </w:r>
    </w:p>
    <w:p w:rsidR="00000000" w:rsidDel="00000000" w:rsidP="00000000" w:rsidRDefault="00000000" w:rsidRPr="00000000" w14:paraId="000002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2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Guanajuato y el Director Administrativo de dicho organismo local.</w:t>
      </w:r>
    </w:p>
    <w:p w:rsidR="00000000" w:rsidDel="00000000" w:rsidP="00000000" w:rsidRDefault="00000000" w:rsidRPr="00000000" w14:paraId="000002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20D">
      <w:pPr>
        <w:shd w:fill="ffffff" w:val="clear"/>
        <w:spacing w:after="80" w:lineRule="auto"/>
        <w:ind w:firstLine="280"/>
        <w:jc w:val="both"/>
        <w:rPr>
          <w:b w:val="1"/>
          <w:sz w:val="18"/>
          <w:szCs w:val="18"/>
        </w:rPr>
      </w:pPr>
      <w:r w:rsidDel="00000000" w:rsidR="00000000" w:rsidRPr="00000000">
        <w:rPr>
          <w:b w:val="1"/>
          <w:sz w:val="18"/>
          <w:szCs w:val="18"/>
          <w:rtl w:val="0"/>
        </w:rPr>
        <w:t xml:space="preserve">8. Monto de la aportación solidaria a efectuarse por "LA ENTIDAD" y modalidades de entrega.</w:t>
      </w:r>
    </w:p>
    <w:p w:rsidR="00000000" w:rsidDel="00000000" w:rsidP="00000000" w:rsidRDefault="00000000" w:rsidRPr="00000000" w14:paraId="000002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$ 1,668,420,258.48 (un mil seiscientos sesenta y ocho millones cuatrocientos veinte mil doscientos cincuenta y ocho pesos 48/100 M.N.), en virtud de lo cual el importe líquido que por este concepto deberá aportar "LA ENTIDAD" será la cantidad de $1,167,894,180.94 (un mil ciento sesenta y siete millones ochocientos noventa y cuatro mil ciento ochenta pesos 94/100 M.N.).</w:t>
      </w:r>
    </w:p>
    <w:p w:rsidR="00000000" w:rsidDel="00000000" w:rsidP="00000000" w:rsidRDefault="00000000" w:rsidRPr="00000000" w14:paraId="0000020F">
      <w:pPr>
        <w:shd w:fill="ffffff" w:val="clear"/>
        <w:spacing w:after="10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905"/>
        <w:gridCol w:w="1530"/>
        <w:gridCol w:w="1605"/>
        <w:gridCol w:w="1665"/>
        <w:gridCol w:w="1560"/>
        <w:tblGridChange w:id="0">
          <w:tblGrid>
            <w:gridCol w:w="525"/>
            <w:gridCol w:w="1905"/>
            <w:gridCol w:w="1530"/>
            <w:gridCol w:w="1605"/>
            <w:gridCol w:w="1665"/>
            <w:gridCol w:w="1560"/>
          </w:tblGrid>
        </w:tblGridChange>
      </w:tblGrid>
      <w:tr>
        <w:trPr>
          <w:trHeight w:val="7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0">
            <w:pP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1">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Aportación Estatal Total</w:t>
            </w:r>
          </w:p>
          <w:p w:rsidR="00000000" w:rsidDel="00000000" w:rsidP="00000000" w:rsidRDefault="00000000" w:rsidRPr="00000000" w14:paraId="00000212">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3">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Aportación del</w:t>
            </w:r>
          </w:p>
          <w:p w:rsidR="00000000" w:rsidDel="00000000" w:rsidP="00000000" w:rsidRDefault="00000000" w:rsidRPr="00000000" w14:paraId="00000214">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5">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Aportación del</w:t>
            </w:r>
          </w:p>
          <w:p w:rsidR="00000000" w:rsidDel="00000000" w:rsidP="00000000" w:rsidRDefault="00000000" w:rsidRPr="00000000" w14:paraId="00000216">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7">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Aportación del tercer</w:t>
            </w:r>
          </w:p>
          <w:p w:rsidR="00000000" w:rsidDel="00000000" w:rsidP="00000000" w:rsidRDefault="00000000" w:rsidRPr="00000000" w14:paraId="00000218">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9">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Aportación del</w:t>
            </w:r>
          </w:p>
          <w:p w:rsidR="00000000" w:rsidDel="00000000" w:rsidP="00000000" w:rsidRDefault="00000000" w:rsidRPr="00000000" w14:paraId="0000021A">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cuarto trimestre</w:t>
            </w:r>
          </w:p>
        </w:tc>
      </w:tr>
      <w:tr>
        <w:trPr>
          <w:trHeight w:val="54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B">
            <w:pP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C">
            <w:pPr>
              <w:spacing w:after="100" w:lineRule="auto"/>
              <w:ind w:left="80" w:firstLine="0"/>
              <w:jc w:val="center"/>
              <w:rPr>
                <w:color w:val="2f2f2f"/>
                <w:sz w:val="14"/>
                <w:szCs w:val="14"/>
              </w:rPr>
            </w:pPr>
            <w:r w:rsidDel="00000000" w:rsidR="00000000" w:rsidRPr="00000000">
              <w:rPr>
                <w:color w:val="2f2f2f"/>
                <w:sz w:val="14"/>
                <w:szCs w:val="14"/>
                <w:rtl w:val="0"/>
              </w:rPr>
              <w:t xml:space="preserve">$ 1,668,420,258.48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D">
            <w:pPr>
              <w:spacing w:after="100" w:lineRule="auto"/>
              <w:ind w:left="80" w:firstLine="0"/>
              <w:jc w:val="center"/>
              <w:rPr>
                <w:color w:val="2f2f2f"/>
                <w:sz w:val="14"/>
                <w:szCs w:val="14"/>
              </w:rPr>
            </w:pPr>
            <w:r w:rsidDel="00000000" w:rsidR="00000000" w:rsidRPr="00000000">
              <w:rPr>
                <w:color w:val="2f2f2f"/>
                <w:sz w:val="14"/>
                <w:szCs w:val="14"/>
                <w:rtl w:val="0"/>
              </w:rPr>
              <w:t xml:space="preserve">$ 417,105,064.62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E">
            <w:pPr>
              <w:spacing w:after="100" w:lineRule="auto"/>
              <w:ind w:left="80" w:firstLine="0"/>
              <w:jc w:val="center"/>
              <w:rPr>
                <w:color w:val="2f2f2f"/>
                <w:sz w:val="14"/>
                <w:szCs w:val="14"/>
              </w:rPr>
            </w:pPr>
            <w:r w:rsidDel="00000000" w:rsidR="00000000" w:rsidRPr="00000000">
              <w:rPr>
                <w:color w:val="2f2f2f"/>
                <w:sz w:val="14"/>
                <w:szCs w:val="14"/>
                <w:rtl w:val="0"/>
              </w:rPr>
              <w:t xml:space="preserve">$ 417,105,064.62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pacing w:after="100" w:lineRule="auto"/>
              <w:ind w:left="80" w:firstLine="0"/>
              <w:jc w:val="center"/>
              <w:rPr>
                <w:color w:val="2f2f2f"/>
                <w:sz w:val="14"/>
                <w:szCs w:val="14"/>
              </w:rPr>
            </w:pPr>
            <w:r w:rsidDel="00000000" w:rsidR="00000000" w:rsidRPr="00000000">
              <w:rPr>
                <w:color w:val="2f2f2f"/>
                <w:sz w:val="14"/>
                <w:szCs w:val="14"/>
                <w:rtl w:val="0"/>
              </w:rPr>
              <w:t xml:space="preserve">$ 417,105,064.62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0">
            <w:pPr>
              <w:spacing w:after="100" w:lineRule="auto"/>
              <w:ind w:left="80" w:firstLine="0"/>
              <w:jc w:val="center"/>
              <w:rPr>
                <w:color w:val="2f2f2f"/>
                <w:sz w:val="14"/>
                <w:szCs w:val="14"/>
              </w:rPr>
            </w:pPr>
            <w:r w:rsidDel="00000000" w:rsidR="00000000" w:rsidRPr="00000000">
              <w:rPr>
                <w:color w:val="2f2f2f"/>
                <w:sz w:val="14"/>
                <w:szCs w:val="14"/>
                <w:rtl w:val="0"/>
              </w:rPr>
              <w:t xml:space="preserve">$ 417,105,064.62</w:t>
            </w:r>
          </w:p>
        </w:tc>
      </w:tr>
      <w:tr>
        <w:trPr>
          <w:trHeight w:val="54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pacing w:after="100" w:lineRule="auto"/>
              <w:ind w:left="80" w:firstLine="0"/>
              <w:jc w:val="center"/>
              <w:rPr>
                <w:color w:val="2f2f2f"/>
                <w:sz w:val="14"/>
                <w:szCs w:val="14"/>
              </w:rPr>
            </w:pPr>
            <w:r w:rsidDel="00000000" w:rsidR="00000000" w:rsidRPr="00000000">
              <w:rPr>
                <w:color w:val="2f2f2f"/>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pacing w:after="100" w:lineRule="auto"/>
              <w:ind w:left="80" w:firstLine="0"/>
              <w:jc w:val="center"/>
              <w:rPr>
                <w:color w:val="2f2f2f"/>
                <w:sz w:val="14"/>
                <w:szCs w:val="14"/>
              </w:rPr>
            </w:pPr>
            <w:r w:rsidDel="00000000" w:rsidR="00000000" w:rsidRPr="00000000">
              <w:rPr>
                <w:color w:val="2f2f2f"/>
                <w:sz w:val="14"/>
                <w:szCs w:val="14"/>
                <w:rtl w:val="0"/>
              </w:rPr>
              <w:t xml:space="preserve">$ 1,167,894,180.94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3">
            <w:pPr>
              <w:spacing w:after="100" w:lineRule="auto"/>
              <w:ind w:left="80" w:firstLine="0"/>
              <w:jc w:val="center"/>
              <w:rPr>
                <w:color w:val="2f2f2f"/>
                <w:sz w:val="14"/>
                <w:szCs w:val="14"/>
              </w:rPr>
            </w:pPr>
            <w:r w:rsidDel="00000000" w:rsidR="00000000" w:rsidRPr="00000000">
              <w:rPr>
                <w:color w:val="2f2f2f"/>
                <w:sz w:val="14"/>
                <w:szCs w:val="14"/>
                <w:rtl w:val="0"/>
              </w:rPr>
              <w:t xml:space="preserve">$ 291,973,545.24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pacing w:after="100" w:lineRule="auto"/>
              <w:ind w:left="80" w:firstLine="0"/>
              <w:jc w:val="center"/>
              <w:rPr>
                <w:color w:val="2f2f2f"/>
                <w:sz w:val="14"/>
                <w:szCs w:val="14"/>
              </w:rPr>
            </w:pPr>
            <w:r w:rsidDel="00000000" w:rsidR="00000000" w:rsidRPr="00000000">
              <w:rPr>
                <w:color w:val="2f2f2f"/>
                <w:sz w:val="14"/>
                <w:szCs w:val="14"/>
                <w:rtl w:val="0"/>
              </w:rPr>
              <w:t xml:space="preserve">$ 291,973,545.24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100" w:lineRule="auto"/>
              <w:ind w:left="80" w:firstLine="0"/>
              <w:jc w:val="center"/>
              <w:rPr>
                <w:color w:val="2f2f2f"/>
                <w:sz w:val="14"/>
                <w:szCs w:val="14"/>
              </w:rPr>
            </w:pPr>
            <w:r w:rsidDel="00000000" w:rsidR="00000000" w:rsidRPr="00000000">
              <w:rPr>
                <w:color w:val="2f2f2f"/>
                <w:sz w:val="14"/>
                <w:szCs w:val="14"/>
                <w:rtl w:val="0"/>
              </w:rPr>
              <w:t xml:space="preserve">$ 291,973,545.24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pacing w:after="100" w:lineRule="auto"/>
              <w:ind w:left="80" w:firstLine="0"/>
              <w:jc w:val="center"/>
              <w:rPr>
                <w:color w:val="2f2f2f"/>
                <w:sz w:val="14"/>
                <w:szCs w:val="14"/>
              </w:rPr>
            </w:pPr>
            <w:r w:rsidDel="00000000" w:rsidR="00000000" w:rsidRPr="00000000">
              <w:rPr>
                <w:color w:val="2f2f2f"/>
                <w:sz w:val="14"/>
                <w:szCs w:val="14"/>
                <w:rtl w:val="0"/>
              </w:rPr>
              <w:t xml:space="preserve">$ 291,973,545.24</w:t>
            </w:r>
          </w:p>
        </w:tc>
      </w:tr>
      <w:tr>
        <w:trPr>
          <w:trHeight w:val="54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7">
            <w:pPr>
              <w:spacing w:after="100" w:lineRule="auto"/>
              <w:ind w:left="80" w:firstLine="0"/>
              <w:jc w:val="center"/>
              <w:rPr>
                <w:color w:val="2f2f2f"/>
                <w:sz w:val="14"/>
                <w:szCs w:val="14"/>
              </w:rPr>
            </w:pPr>
            <w:r w:rsidDel="00000000" w:rsidR="00000000" w:rsidRPr="00000000">
              <w:rPr>
                <w:color w:val="2f2f2f"/>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pacing w:after="100" w:lineRule="auto"/>
              <w:ind w:left="80" w:firstLine="0"/>
              <w:jc w:val="center"/>
              <w:rPr>
                <w:color w:val="2f2f2f"/>
                <w:sz w:val="14"/>
                <w:szCs w:val="14"/>
              </w:rPr>
            </w:pPr>
            <w:r w:rsidDel="00000000" w:rsidR="00000000" w:rsidRPr="00000000">
              <w:rPr>
                <w:color w:val="2f2f2f"/>
                <w:sz w:val="14"/>
                <w:szCs w:val="14"/>
                <w:rtl w:val="0"/>
              </w:rPr>
              <w:t xml:space="preserve">$ 500,526,077.54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pacing w:after="100" w:lineRule="auto"/>
              <w:ind w:left="80" w:firstLine="0"/>
              <w:jc w:val="center"/>
              <w:rPr>
                <w:color w:val="2f2f2f"/>
                <w:sz w:val="14"/>
                <w:szCs w:val="14"/>
              </w:rPr>
            </w:pPr>
            <w:r w:rsidDel="00000000" w:rsidR="00000000" w:rsidRPr="00000000">
              <w:rPr>
                <w:color w:val="2f2f2f"/>
                <w:sz w:val="14"/>
                <w:szCs w:val="14"/>
                <w:rtl w:val="0"/>
              </w:rPr>
              <w:t xml:space="preserve">$ 125,131,519.39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pacing w:after="100" w:lineRule="auto"/>
              <w:ind w:left="80" w:firstLine="0"/>
              <w:jc w:val="center"/>
              <w:rPr>
                <w:color w:val="2f2f2f"/>
                <w:sz w:val="14"/>
                <w:szCs w:val="14"/>
              </w:rPr>
            </w:pPr>
            <w:r w:rsidDel="00000000" w:rsidR="00000000" w:rsidRPr="00000000">
              <w:rPr>
                <w:color w:val="2f2f2f"/>
                <w:sz w:val="14"/>
                <w:szCs w:val="14"/>
                <w:rtl w:val="0"/>
              </w:rPr>
              <w:t xml:space="preserve">$ 125,131,519.39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pacing w:after="100" w:lineRule="auto"/>
              <w:ind w:left="80" w:firstLine="0"/>
              <w:jc w:val="center"/>
              <w:rPr>
                <w:color w:val="2f2f2f"/>
                <w:sz w:val="14"/>
                <w:szCs w:val="14"/>
              </w:rPr>
            </w:pPr>
            <w:r w:rsidDel="00000000" w:rsidR="00000000" w:rsidRPr="00000000">
              <w:rPr>
                <w:color w:val="2f2f2f"/>
                <w:sz w:val="14"/>
                <w:szCs w:val="14"/>
                <w:rtl w:val="0"/>
              </w:rPr>
              <w:t xml:space="preserve">$ 125,131,519.39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pacing w:after="100" w:lineRule="auto"/>
              <w:ind w:left="80" w:firstLine="0"/>
              <w:jc w:val="center"/>
              <w:rPr>
                <w:color w:val="2f2f2f"/>
                <w:sz w:val="14"/>
                <w:szCs w:val="14"/>
              </w:rPr>
            </w:pPr>
            <w:r w:rsidDel="00000000" w:rsidR="00000000" w:rsidRPr="00000000">
              <w:rPr>
                <w:color w:val="2f2f2f"/>
                <w:sz w:val="14"/>
                <w:szCs w:val="14"/>
                <w:rtl w:val="0"/>
              </w:rPr>
              <w:t xml:space="preserve">$ 125,131,519.39</w:t>
            </w:r>
          </w:p>
        </w:tc>
      </w:tr>
      <w:tr>
        <w:trPr>
          <w:trHeight w:val="7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D">
            <w:pP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E">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Fecha límite de</w:t>
            </w:r>
          </w:p>
          <w:p w:rsidR="00000000" w:rsidDel="00000000" w:rsidP="00000000" w:rsidRDefault="00000000" w:rsidRPr="00000000" w14:paraId="0000022F">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0">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1">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2">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3">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15 de enero 2021</w:t>
            </w:r>
          </w:p>
        </w:tc>
      </w:tr>
    </w:tbl>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5">
      <w:pPr>
        <w:shd w:fill="ffffff" w:val="clear"/>
        <w:spacing w:after="10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236">
      <w:pPr>
        <w:shd w:fill="ffffff" w:val="clear"/>
        <w:spacing w:after="10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2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deberá ser aperturada a nombre de los Servicios de Salud de la "LA ENTIDAD", denominada "Aportación Líquida Estatal INSABI 2020".</w:t>
      </w:r>
    </w:p>
    <w:p w:rsidR="00000000" w:rsidDel="00000000" w:rsidP="00000000" w:rsidRDefault="00000000" w:rsidRPr="00000000" w14:paraId="000002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239">
      <w:pPr>
        <w:shd w:fill="ffffff" w:val="clear"/>
        <w:spacing w:after="100" w:lineRule="auto"/>
        <w:ind w:firstLine="280"/>
        <w:jc w:val="both"/>
        <w:rPr>
          <w:sz w:val="18"/>
          <w:szCs w:val="18"/>
        </w:rPr>
      </w:pPr>
      <w:r w:rsidDel="00000000" w:rsidR="00000000" w:rsidRPr="00000000">
        <w:rPr>
          <w:color w:val="2f2f2f"/>
          <w:sz w:val="18"/>
          <w:szCs w:val="18"/>
          <w:rtl w:val="0"/>
        </w:rPr>
        <w:t xml:space="preserve">"</w:t>
      </w:r>
      <w:r w:rsidDel="00000000" w:rsidR="00000000" w:rsidRPr="00000000">
        <w:rPr>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(ii). a la adquisición del equipamiento relacionado con la salud que fortalezca la prestación de servicios de salud a la persona, incluyendo unidades médicas móviles en cualquiera de sus modalidades. Dichos conceptos deberán corresponder a las partidas de los capítulos 5000 y 6000 del Clasificador por Objeto del Gasto; (iii) la nómina del personal médico, paramédico y afín, de Unidades médicas de "LA ENTIDAD", que se cubran con ingresos propios que no tengan el carácter de trasferencias federales etiquetadas en términos de la fracción XL del artículo 2 de la Ley de Disciplina Financiera de las Entidades Federativas y los Municipios y, (iv) gasto en medicamentos, material de curación, equipamiento médico y demás insumos para la salud de Unidades médicas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23A">
      <w:pPr>
        <w:shd w:fill="ffffff" w:val="clear"/>
        <w:spacing w:after="100" w:lineRule="auto"/>
        <w:ind w:firstLine="280"/>
        <w:jc w:val="both"/>
        <w:rPr>
          <w:sz w:val="18"/>
          <w:szCs w:val="18"/>
        </w:rPr>
      </w:pPr>
      <w:r w:rsidDel="00000000" w:rsidR="00000000" w:rsidRPr="00000000">
        <w:rPr>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23B">
      <w:pPr>
        <w:shd w:fill="ffffff" w:val="clear"/>
        <w:spacing w:after="100" w:lineRule="auto"/>
        <w:ind w:firstLine="280"/>
        <w:jc w:val="both"/>
        <w:rPr>
          <w:b w:val="1"/>
          <w:sz w:val="18"/>
          <w:szCs w:val="18"/>
        </w:rPr>
      </w:pPr>
      <w:r w:rsidDel="00000000" w:rsidR="00000000" w:rsidRPr="00000000">
        <w:rPr>
          <w:b w:val="1"/>
          <w:sz w:val="18"/>
          <w:szCs w:val="18"/>
          <w:rtl w:val="0"/>
        </w:rPr>
        <w:t xml:space="preserve">9. "LAS PARTES" acuerdan que las circunstancias no previstas en el presente Anexo, serán resueltas por el "INSABI".</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Anexo se firma a los 28 días del mes de febrero de 2020.-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Diego Sinhue Rodríguez Vallejo</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Luis Ernesto Ayala Torres</w:t>
      </w:r>
      <w:r w:rsidDel="00000000" w:rsidR="00000000" w:rsidRPr="00000000">
        <w:rPr>
          <w:color w:val="2f2f2f"/>
          <w:sz w:val="18"/>
          <w:szCs w:val="18"/>
          <w:rtl w:val="0"/>
        </w:rPr>
        <w:t xml:space="preserve">.- Rúbrica.- El Secretario de Finanzas, Inversión y Administración, </w:t>
      </w:r>
      <w:r w:rsidDel="00000000" w:rsidR="00000000" w:rsidRPr="00000000">
        <w:rPr>
          <w:b w:val="1"/>
          <w:color w:val="2f2f2f"/>
          <w:sz w:val="18"/>
          <w:szCs w:val="18"/>
          <w:rtl w:val="0"/>
        </w:rPr>
        <w:t xml:space="preserve">Héctor Salgado Banda</w:t>
      </w:r>
      <w:r w:rsidDel="00000000" w:rsidR="00000000" w:rsidRPr="00000000">
        <w:rPr>
          <w:color w:val="2f2f2f"/>
          <w:sz w:val="18"/>
          <w:szCs w:val="18"/>
          <w:rtl w:val="0"/>
        </w:rPr>
        <w:t xml:space="preserve">.- Rúbrica.- El Secretario de Salud y Director General del Instituto de Salud Pública del Estado de Guanajuato, </w:t>
      </w:r>
      <w:r w:rsidDel="00000000" w:rsidR="00000000" w:rsidRPr="00000000">
        <w:rPr>
          <w:b w:val="1"/>
          <w:color w:val="2f2f2f"/>
          <w:sz w:val="18"/>
          <w:szCs w:val="18"/>
          <w:rtl w:val="0"/>
        </w:rPr>
        <w:t xml:space="preserve">Daniel Alberto Díaz Martínez</w:t>
      </w:r>
      <w:r w:rsidDel="00000000" w:rsidR="00000000" w:rsidRPr="00000000">
        <w:rPr>
          <w:color w:val="2f2f2f"/>
          <w:sz w:val="18"/>
          <w:szCs w:val="18"/>
          <w:rtl w:val="0"/>
        </w:rPr>
        <w:t xml:space="preserve">.- Rúbrica.- La Secretaria de la Transparencia y Rendición de Cuentas, </w:t>
      </w:r>
      <w:r w:rsidDel="00000000" w:rsidR="00000000" w:rsidRPr="00000000">
        <w:rPr>
          <w:b w:val="1"/>
          <w:color w:val="2f2f2f"/>
          <w:sz w:val="18"/>
          <w:szCs w:val="18"/>
          <w:rtl w:val="0"/>
        </w:rPr>
        <w:t xml:space="preserve">Marisol de Lourdes Ruenes Torres</w:t>
      </w:r>
      <w:r w:rsidDel="00000000" w:rsidR="00000000" w:rsidRPr="00000000">
        <w:rPr>
          <w:color w:val="2f2f2f"/>
          <w:sz w:val="18"/>
          <w:szCs w:val="18"/>
          <w:rtl w:val="0"/>
        </w:rPr>
        <w:t xml:space="preserve">.- Rúbrica.</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E">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23F">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