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Coahuila de Zaragoza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2021)</w:t>
      </w:r>
    </w:p>
    <w:p w:rsidR="00000000" w:rsidDel="00000000" w:rsidP="00000000" w:rsidRDefault="00000000" w:rsidRPr="00000000" w14:paraId="00000003">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COAHUILA DE ZARAGOZA, EN ADELANTE DENOMINADO "GOBIERNO DEL ESTADO", REPRESENTADO EN ESTE ACTO POR EL ING. MIGUEL ÁNGEL RIQUELME SOLÍS, EN SU CARÁCTER DE GOBERNADOR CONSTITUCIONAL DEL ESTADO DE COAHUILA DE ZARAGOZA, ASISTIDO POR EL LIC. FERNANDO DONATO DE LAS FUENTES HERNÁNDEZ, SECRETARIO DE GOBIERNO; EL LIC. BLAS JOSÉ FLORES DÁVILA, SECRETARIO DE FINANZAS; LA LIC. TERESA GUAJARDO BERLANGA, SECRETARIA DE FISCALIZACIÓN Y RENDICIÓN DE CUENTAS; Y LA ING. NAZIRA ZOGBI CASTRO, SECRETARIA DEL TRABAJO; A QUIENES SE LES DENOMINARÁ CONJUNTAMENTE COMO "LAS PARTES", DE CONFORMIDAD CON LOS ANTECEDENTES, DECLARACIONES Y CLÁUSULAS SIGUIENTES: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declara que:</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los artículos 40, 42, fracción I, 43 y 116, de la Constitución Política de los Estados Unidos Mexicanos, y 1º de la Constitución Política del Estado de Coahuila de Zaragoza, es parte integrante de la Federación, independiente, libre y soberano en lo que toca en su administración y régimen interior sin más limitaciones que las expresamente establecidas en el Pacto Federal.</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Ing. Miguel Ángel Riquelme Solís, en su carácter de Gobernador Constitucional del Estado de Coahuila de Zaragoza, tiene plenas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por los artículos 75 y 82, fracción V, de la Constitución Política del Estado de Coahuila de Zaragoza; y 1, 2, 5 y 9, apartado B, fracción V, de la Ley Orgánica de la Administración Pública del Estado de Coahuila de Zaragoza.</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Estado que intervienen, cuentan con las suficientes facultades legales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los artículos 86 de la Constitución Política del Estado de Coahuila de Zaragoza; y 1, 4, 18, fracciones I, II, XI y XIII, 19, fracción XX, 21, 22, 31 y 33, de la Ley Orgánica de la Administración Pública del Estado de Coahuila de Zaragoza.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operación de los programas y actividades del Servicio Nacional de Empleo, la Secretaría del Trabajo cuenta con una unidad administrativa a la cual, para efectos del presente documento, se le denominará Oficina del Servicio Nacional de Empleo Coahuila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procedentes manifiesta que tiene su domicilio en Palacio de Gobierno, Hidalgo y Juárez s/n, Zona Centro, C.P. 25000, Saltillo, Coahuila de Zaragoza.</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3">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Coahuila.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OBLIGACIONES DE "LAS PARTES".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"GOBIERNO DEL ESTADO",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OBLIGACIONES DE LA "SECRETARÍA".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PAE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OBLIGACIONES DEL "GOBIERNO DEL ESTADO".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se obliga a:</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para ello deberá:</w:t>
      </w:r>
    </w:p>
    <w:p w:rsidR="00000000" w:rsidDel="00000000" w:rsidP="00000000" w:rsidRDefault="00000000" w:rsidRPr="00000000" w14:paraId="0000004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Coahuila"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del Trabajo,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w:t>
      </w:r>
    </w:p>
    <w:p w:rsidR="00000000" w:rsidDel="00000000" w:rsidP="00000000" w:rsidRDefault="00000000" w:rsidRPr="00000000" w14:paraId="0000004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perfil ocupacional; el tipo de contrato y condiciones serán establecidas por el "GOBIERNO DEL ESTADO" y las obligaciones que se deriven de esta relación serán responsabilidad de éste.</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caso, el "GOBIERNO DEL ESTADO"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PAE de conformidad con la Normatividad aplicable.</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w:t>
      </w:r>
    </w:p>
    <w:p w:rsidR="00000000" w:rsidDel="00000000" w:rsidP="00000000" w:rsidRDefault="00000000" w:rsidRPr="00000000" w14:paraId="0000005E">
      <w:pPr>
        <w:shd w:fill="ffffff" w:val="clear"/>
        <w:spacing w:after="100" w:lineRule="auto"/>
        <w:ind w:left="1160" w:firstLine="0"/>
        <w:jc w:val="both"/>
        <w:rPr>
          <w:color w:val="2f2f2f"/>
          <w:sz w:val="18"/>
          <w:szCs w:val="18"/>
        </w:rPr>
      </w:pP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0">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2">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3">
      <w:pPr>
        <w:shd w:fill="ffffff" w:val="clear"/>
        <w:spacing w:after="100" w:lineRule="auto"/>
        <w:ind w:left="160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$7'422,002.00 (SIETE MILLONES CUATROCIENTOS VEINTIDÓS MIL DOS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1">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APORTACIONES DEL "GOBIERNO DEL ESTADO". Para garantizar la ejecución de las Estrategias del </w:t>
      </w:r>
      <w:r w:rsidDel="00000000" w:rsidR="00000000" w:rsidRPr="00000000">
        <w:rPr>
          <w:i w:val="1"/>
          <w:color w:val="2f2f2f"/>
          <w:sz w:val="18"/>
          <w:szCs w:val="18"/>
          <w:rtl w:val="0"/>
        </w:rPr>
        <w:t xml:space="preserve">SNE </w:t>
      </w:r>
      <w:r w:rsidDel="00000000" w:rsidR="00000000" w:rsidRPr="00000000">
        <w:rPr>
          <w:color w:val="2f2f2f"/>
          <w:sz w:val="18"/>
          <w:szCs w:val="18"/>
          <w:rtl w:val="0"/>
        </w:rPr>
        <w:t xml:space="preserve">y el incremento de su cobertura, el "GOBIERNO DEL ESTADO" se compromete a aportar los recursos que a continuación se indican:</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$5'107,405.87 (CINCO MILLONES CIENTO SIETE MIL CUATROCIENTOS CINCO PESOS 87/100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$5'000,000.00 (CINCO MILLONES DE PESOS 00/100 M.N.), para su aplicación en acciones de:</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"GOBIERNO DEL ESTADO" en favor de la población buscadora de empleo, y</w:t>
      </w:r>
    </w:p>
    <w:p w:rsidR="00000000" w:rsidDel="00000000" w:rsidP="00000000" w:rsidRDefault="00000000" w:rsidRPr="00000000" w14:paraId="0000007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 </w:t>
      </w:r>
      <w:r w:rsidDel="00000000" w:rsidR="00000000" w:rsidRPr="00000000">
        <w:rPr>
          <w:color w:val="2f2f2f"/>
          <w:sz w:val="18"/>
          <w:szCs w:val="18"/>
          <w:rtl w:val="0"/>
        </w:rPr>
        <w:t xml:space="preserve">con el "GOBIERNO DEL ESTADO",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por su parte, se obliga a difundir al interior de la entidad federativa dicha información, en los términos de lo dispuesto por la Ley de Transparencia y Acceso a la Información Pública del Estado de Coahuila.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18 de febrero de 2020 y que fue publicado en el Diario Oficial de la Federación el 27 de marzo del mismo año.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de la "SECRETARÍA" por conducto del Encargado de Despacho de la Unidad del Servicio Nacional de Empleo, o por el "GOBIERNO DEL ESTADO", por conducto del Titular de la Secretaría del Trabajo,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el artículo 21, Fracción XII, de la Ley Orgánica de la Administración Pública del Estado de Coahuila de Zaragoza, también deberá ser publicado en el Periódico Oficial del "GOBIERNO DEL ESTADO".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Gobernador Constitucional del Estado de Coahuila de Zaragoza, Ing. </w:t>
      </w:r>
      <w:r w:rsidDel="00000000" w:rsidR="00000000" w:rsidRPr="00000000">
        <w:rPr>
          <w:b w:val="1"/>
          <w:color w:val="2f2f2f"/>
          <w:sz w:val="18"/>
          <w:szCs w:val="18"/>
          <w:rtl w:val="0"/>
        </w:rPr>
        <w:t xml:space="preserve">Miguel Ángel Riquelme Solís</w:t>
      </w:r>
      <w:r w:rsidDel="00000000" w:rsidR="00000000" w:rsidRPr="00000000">
        <w:rPr>
          <w:color w:val="2f2f2f"/>
          <w:sz w:val="18"/>
          <w:szCs w:val="18"/>
          <w:rtl w:val="0"/>
        </w:rPr>
        <w:t xml:space="preserve">.- Rúbrica.- Secretario de Gobierno, Lic. </w:t>
      </w:r>
      <w:r w:rsidDel="00000000" w:rsidR="00000000" w:rsidRPr="00000000">
        <w:rPr>
          <w:b w:val="1"/>
          <w:color w:val="2f2f2f"/>
          <w:sz w:val="18"/>
          <w:szCs w:val="18"/>
          <w:rtl w:val="0"/>
        </w:rPr>
        <w:t xml:space="preserve">Fernando Donato de las Fuentes Hernández</w:t>
      </w:r>
      <w:r w:rsidDel="00000000" w:rsidR="00000000" w:rsidRPr="00000000">
        <w:rPr>
          <w:color w:val="2f2f2f"/>
          <w:sz w:val="18"/>
          <w:szCs w:val="18"/>
          <w:rtl w:val="0"/>
        </w:rPr>
        <w:t xml:space="preserve">.- Rúbrica.- Secretario de Finanzas, Lic. </w:t>
      </w:r>
      <w:r w:rsidDel="00000000" w:rsidR="00000000" w:rsidRPr="00000000">
        <w:rPr>
          <w:b w:val="1"/>
          <w:color w:val="2f2f2f"/>
          <w:sz w:val="18"/>
          <w:szCs w:val="18"/>
          <w:rtl w:val="0"/>
        </w:rPr>
        <w:t xml:space="preserve">Blas José Flores Dávila</w:t>
      </w:r>
      <w:r w:rsidDel="00000000" w:rsidR="00000000" w:rsidRPr="00000000">
        <w:rPr>
          <w:color w:val="2f2f2f"/>
          <w:sz w:val="18"/>
          <w:szCs w:val="18"/>
          <w:rtl w:val="0"/>
        </w:rPr>
        <w:t xml:space="preserve">.- Rúbrica.- Secretaria de Fiscalización y Rendición de Cuentas, Lic. </w:t>
      </w:r>
      <w:r w:rsidDel="00000000" w:rsidR="00000000" w:rsidRPr="00000000">
        <w:rPr>
          <w:b w:val="1"/>
          <w:color w:val="2f2f2f"/>
          <w:sz w:val="18"/>
          <w:szCs w:val="18"/>
          <w:rtl w:val="0"/>
        </w:rPr>
        <w:t xml:space="preserve">Teresa Guajardo Berlanga</w:t>
      </w:r>
      <w:r w:rsidDel="00000000" w:rsidR="00000000" w:rsidRPr="00000000">
        <w:rPr>
          <w:color w:val="2f2f2f"/>
          <w:sz w:val="18"/>
          <w:szCs w:val="18"/>
          <w:rtl w:val="0"/>
        </w:rPr>
        <w:t xml:space="preserve">.- Rúbrica.- Secretaria del Trabajo, Ing. </w:t>
      </w:r>
      <w:r w:rsidDel="00000000" w:rsidR="00000000" w:rsidRPr="00000000">
        <w:rPr>
          <w:b w:val="1"/>
          <w:color w:val="2f2f2f"/>
          <w:sz w:val="18"/>
          <w:szCs w:val="18"/>
          <w:rtl w:val="0"/>
        </w:rPr>
        <w:t xml:space="preserve">Nazira Zogbi Castro</w:t>
      </w:r>
      <w:r w:rsidDel="00000000" w:rsidR="00000000" w:rsidRPr="00000000">
        <w:rPr>
          <w:color w:val="2f2f2f"/>
          <w:sz w:val="18"/>
          <w:szCs w:val="18"/>
          <w:rtl w:val="0"/>
        </w:rPr>
        <w:t xml:space="preserve">.- Rúbrica.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