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A7" w:rsidRDefault="002220A7" w:rsidP="002220A7">
      <w:pPr>
        <w:jc w:val="center"/>
        <w:rPr>
          <w:rFonts w:ascii="Verdana" w:eastAsia="Verdana" w:hAnsi="Verdana" w:cs="Verdana"/>
          <w:b/>
          <w:color w:val="0000FF"/>
          <w:sz w:val="24"/>
          <w:szCs w:val="24"/>
        </w:rPr>
      </w:pPr>
      <w:r w:rsidRPr="002220A7">
        <w:rPr>
          <w:rFonts w:ascii="Verdana" w:eastAsia="Verdana" w:hAnsi="Verdana" w:cs="Verdana"/>
          <w:b/>
          <w:color w:val="0000FF"/>
          <w:sz w:val="24"/>
          <w:szCs w:val="24"/>
        </w:rPr>
        <w:t>ACUERDO que modifica al diverso por el que se dan a conocer los Números de Identificación Comercial (NICO) y sus tablas de correlación.</w:t>
      </w:r>
      <w:r w:rsidR="002D3678">
        <w:rPr>
          <w:rFonts w:ascii="Verdana" w:eastAsia="Verdana" w:hAnsi="Verdana" w:cs="Verdana"/>
          <w:b/>
          <w:color w:val="0000FF"/>
          <w:sz w:val="24"/>
          <w:szCs w:val="24"/>
        </w:rPr>
        <w:br/>
        <w:t>(DOF del 02</w:t>
      </w:r>
      <w:bookmarkStart w:id="0" w:name="_GoBack"/>
      <w:bookmarkEnd w:id="0"/>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p>
    <w:p w:rsidR="00B32171" w:rsidRDefault="002220A7" w:rsidP="002220A7">
      <w:pPr>
        <w:jc w:val="both"/>
        <w:rPr>
          <w:rFonts w:ascii="Arial" w:hAnsi="Arial" w:cs="Arial"/>
          <w:b/>
          <w:color w:val="000000" w:themeColor="text1"/>
          <w:sz w:val="18"/>
        </w:rPr>
      </w:pPr>
      <w:r w:rsidRPr="002220A7">
        <w:rPr>
          <w:rFonts w:ascii="Arial" w:hAnsi="Arial" w:cs="Arial"/>
          <w:b/>
          <w:color w:val="000000" w:themeColor="text1"/>
          <w:sz w:val="18"/>
        </w:rPr>
        <w:t>Al margen un sello con el Escudo Nacional, que dice: Estados Unidos Mexicanos.- ECONOMÍA.- Secretaría de Economía.</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Con fundamento en los artículos 34 fracción XXXIII de la Ley Orgánica de la Administración Pública Federal; 2o. fracción II Regla Complementaria 10ª párrafo cuarto incisos a) y b) de la Ley de los Impuestos Generales de Importación y de Exportación; 4o. fracción III, 5o. fracción XIII, 6o. de la Ley de Comercio Exterior; 9o. fracciones XI y XV del Reglamento de la Ley de Comercio Exterior; 5 fracción XVII del Reglamento Interior de la Secretaría de Economía, y</w:t>
      </w:r>
    </w:p>
    <w:p w:rsidR="002220A7" w:rsidRPr="002220A7" w:rsidRDefault="002220A7" w:rsidP="002220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20A7">
        <w:rPr>
          <w:rFonts w:ascii="Times" w:eastAsia="Times New Roman" w:hAnsi="Times" w:cs="Times New Roman"/>
          <w:b/>
          <w:bCs/>
          <w:color w:val="2F2F2F"/>
          <w:sz w:val="18"/>
          <w:szCs w:val="18"/>
          <w:lang w:eastAsia="es-MX"/>
        </w:rPr>
        <w:t>CONSIDERANDO</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el 1 de julio de 2020 se publicó en el Diario Oficial de la Federación (DOF) la Ley de los Impuestos Generales de Importación y de Exportación (LIGIE), en la que se expidió la Tarifa arancelaria aplicable a la importación y exportación de mercancías en territorio nacional, la cual ha sido modificada mediante diversos publicados en el mismo órgano de difusión oficial el 24 de diciembre de 2020, el 22 de febrero de 2021, el 16 de julio de 2021, el 22 de octubre de 2021, y el 18 y 22 de noviembre de 2021.</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el Artículo 2o., fracción II, Regla Complementaria 10ª, primer párrafo de la LIGIE, señala la obligación de establecer los números de identificación comercial en los que se clasifican las mercancías en función de las fracciones arancelarias y la metodología para la creación y modificación de dichos números, los cuales deben ser determinados por la Secretaría de Economía, con opinión previa de la Secretaría de Hacienda y Crédito Público.</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de conformidad con el Artículo 2o., fracción II, Regla Complementaria 10ª, tercer párrafo de la LIGIE, la clasificación de las mercancías está integrada por las fracciones arancelarias y el número de identificación comercial, el cual está integrado por 2 dígitos, los cuales se colocan en la posición posterior de la fracción arancelaria que corresponde, y que están ordenados de manera progresiva iniciando del 00 al 99, lo que permite contar con datos estadísticos más precisos, es decir, una herramienta de facilitación comercial que permite separar la función de inteligencia comercial y estadística de la función reguladora, tanto en el aspecto arancelario como en el de regulaciones y restricciones no arancelarias.</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atendiendo a lo señalado por dicha Regla Complementaria 10ª, primer párrafo de la citada Ley, el 28 de agosto de 2020 se publicó en el DOF, el Acuerdo por el que se establece la metodología para la creación y modificación de los números de identificación comercial, mediante el cual se establece la metodología para la creación y modificación de los citados números en los que se clasificarán las mercancías en función de las fracciones arancelarias y, que en este sentido, tal metodología comprende los criterios de evaluación, los parámetros de los mismos, así como el procedimiento a seguir para ello.</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de conformidad con la Regla Complementaria 10ª, párrafo cuarto, incisos a) y b), señalada en los Considerandos anteriores, el 17 de noviembre de 2020 se publicó en el DOF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el cual fue modificado mediante diversos publicados en el mismo órgano de difusión oficial el 27 de diciembre de 2020 y el 23 de febrero de 2021.</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con el objeto de contar con estadísticas precisas y tener una plena identificación de los flujos comerciales de las mercancías del sector siderúrgico, resulta necesario crear 3 NICO y modificar la descripción de 2 NICO de los Capítulos 72 y 73 y modificar la descripción de 1 NICO del Capítulo 85, respectivamente, de la LIGIE.</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para contar con una correcta implementación de los NICO, con la finalidad de evitar duplicidad en la clasificación de mercancías y dar certeza jurídica a los usuarios de comercio exterior, es necesario suprimir 2 NICO del Capítulo 17, y 3 NICO del Capítulo 85 de la LIGIE.</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para una correcta implementación de los NICO y considerando lo señalado en los dos Considerandos anteriores, es necesario modificar el Acuerdo por el que se dan a conocer los Números de Identificación Comercial (NICO) y sus tablas de correlación, publicado el 17 de noviembre de 2020, y sus posteriores modificaciones.</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lastRenderedPageBreak/>
        <w:t>Que los NICO que se dan a conocer a través del presente Acuerdo, fueron determinados con la opinión favorable de la Secretaría de Hacienda y Crédito Público, incluyendo su órgano desconcentrado, el Servicio de Administración Tributaria.</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2220A7" w:rsidRPr="002220A7" w:rsidRDefault="002220A7" w:rsidP="002220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20A7">
        <w:rPr>
          <w:rFonts w:ascii="Times" w:eastAsia="Times New Roman" w:hAnsi="Times" w:cs="Times New Roman"/>
          <w:b/>
          <w:bCs/>
          <w:color w:val="2F2F2F"/>
          <w:sz w:val="18"/>
          <w:szCs w:val="18"/>
          <w:lang w:eastAsia="es-MX"/>
        </w:rPr>
        <w:t>ACUERDO QUE MODIFICA AL DIVERSO POR EL QUE SE DAN A CONOCER LOS NÚMEROS DE</w:t>
      </w:r>
      <w:r w:rsidRPr="002220A7">
        <w:rPr>
          <w:rFonts w:ascii="Times New Roman" w:eastAsia="Times New Roman" w:hAnsi="Times New Roman" w:cs="Times New Roman"/>
          <w:b/>
          <w:bCs/>
          <w:color w:val="2F2F2F"/>
          <w:sz w:val="18"/>
          <w:szCs w:val="18"/>
          <w:lang w:eastAsia="es-MX"/>
        </w:rPr>
        <w:br/>
      </w:r>
      <w:r w:rsidRPr="002220A7">
        <w:rPr>
          <w:rFonts w:ascii="Times" w:eastAsia="Times New Roman" w:hAnsi="Times" w:cs="Times New Roman"/>
          <w:b/>
          <w:bCs/>
          <w:color w:val="2F2F2F"/>
          <w:sz w:val="18"/>
          <w:szCs w:val="18"/>
          <w:lang w:eastAsia="es-MX"/>
        </w:rPr>
        <w:t>IDENTIFICACIÓN COMERCIAL (NICO) Y SUS TABLAS DE CORRELACIÓN</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b/>
          <w:bCs/>
          <w:color w:val="2F2F2F"/>
          <w:sz w:val="18"/>
          <w:szCs w:val="18"/>
          <w:lang w:eastAsia="es-MX"/>
        </w:rPr>
        <w:t>Artículo Primero.- </w:t>
      </w:r>
      <w:r w:rsidRPr="002220A7">
        <w:rPr>
          <w:rFonts w:ascii="Arial" w:eastAsia="Times New Roman" w:hAnsi="Arial" w:cs="Arial"/>
          <w:color w:val="2F2F2F"/>
          <w:sz w:val="18"/>
          <w:szCs w:val="18"/>
          <w:lang w:eastAsia="es-MX"/>
        </w:rPr>
        <w:t>Se </w:t>
      </w:r>
      <w:r w:rsidRPr="002220A7">
        <w:rPr>
          <w:rFonts w:ascii="Arial" w:eastAsia="Times New Roman" w:hAnsi="Arial" w:cs="Arial"/>
          <w:b/>
          <w:bCs/>
          <w:color w:val="2F2F2F"/>
          <w:sz w:val="18"/>
          <w:szCs w:val="18"/>
          <w:lang w:eastAsia="es-MX"/>
        </w:rPr>
        <w:t>crean </w:t>
      </w:r>
      <w:r w:rsidRPr="002220A7">
        <w:rPr>
          <w:rFonts w:ascii="Arial" w:eastAsia="Times New Roman" w:hAnsi="Arial" w:cs="Arial"/>
          <w:color w:val="2F2F2F"/>
          <w:sz w:val="18"/>
          <w:szCs w:val="18"/>
          <w:lang w:eastAsia="es-MX"/>
        </w:rPr>
        <w:t>los números de identificación comercial, en el orden numérico que les corresponda,</w:t>
      </w:r>
      <w:r w:rsidRPr="002220A7">
        <w:rPr>
          <w:rFonts w:ascii="Arial" w:eastAsia="Times New Roman" w:hAnsi="Arial" w:cs="Arial"/>
          <w:b/>
          <w:bCs/>
          <w:color w:val="2F2F2F"/>
          <w:sz w:val="18"/>
          <w:szCs w:val="18"/>
          <w:lang w:eastAsia="es-MX"/>
        </w:rPr>
        <w:t> </w:t>
      </w:r>
      <w:r w:rsidRPr="002220A7">
        <w:rPr>
          <w:rFonts w:ascii="Arial" w:eastAsia="Times New Roman" w:hAnsi="Arial" w:cs="Arial"/>
          <w:color w:val="2F2F2F"/>
          <w:sz w:val="18"/>
          <w:szCs w:val="18"/>
          <w:lang w:eastAsia="es-MX"/>
        </w:rPr>
        <w:t>en el Artículo Primero del Acuerdo por el que se dan a conocer los Números de Identificación Comercial (NICO) y sus tablas de correlación, publicado el 17 de noviembre de 2020 en el Diario Oficial de la Federación y sus posteriores modificaciones, conforme a lo siguiente:</w:t>
      </w:r>
    </w:p>
    <w:p w:rsidR="002220A7" w:rsidRPr="002220A7" w:rsidRDefault="002220A7" w:rsidP="002220A7">
      <w:pPr>
        <w:shd w:val="clear" w:color="auto" w:fill="FFFFFF"/>
        <w:spacing w:after="101" w:line="240" w:lineRule="auto"/>
        <w:jc w:val="center"/>
        <w:rPr>
          <w:rFonts w:ascii="Arial" w:eastAsia="Times New Roman" w:hAnsi="Arial" w:cs="Arial"/>
          <w:color w:val="2F2F2F"/>
          <w:sz w:val="18"/>
          <w:szCs w:val="18"/>
          <w:lang w:eastAsia="es-MX"/>
        </w:rPr>
      </w:pPr>
      <w:r w:rsidRPr="002220A7">
        <w:rPr>
          <w:rFonts w:ascii="Arial" w:eastAsia="Times New Roman" w:hAnsi="Arial" w:cs="Arial"/>
          <w:b/>
          <w:bCs/>
          <w:color w:val="2F2F2F"/>
          <w:sz w:val="18"/>
          <w:szCs w:val="18"/>
          <w:lang w:eastAsia="es-MX"/>
        </w:rPr>
        <w:t>Números de Identificación Comercial (NICO)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3"/>
        <w:gridCol w:w="1074"/>
        <w:gridCol w:w="6095"/>
      </w:tblGrid>
      <w:tr w:rsidR="002220A7" w:rsidRPr="002220A7" w:rsidTr="002220A7">
        <w:trPr>
          <w:trHeight w:val="556"/>
        </w:trPr>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Fracción</w:t>
            </w:r>
            <w:r w:rsidRPr="002220A7">
              <w:rPr>
                <w:rFonts w:ascii="Arial" w:eastAsia="Times New Roman" w:hAnsi="Arial" w:cs="Arial"/>
                <w:color w:val="000000"/>
                <w:sz w:val="16"/>
                <w:szCs w:val="16"/>
                <w:lang w:eastAsia="es-MX"/>
              </w:rPr>
              <w:br/>
            </w:r>
            <w:r w:rsidRPr="002220A7">
              <w:rPr>
                <w:rFonts w:ascii="Arial" w:eastAsia="Times New Roman" w:hAnsi="Arial" w:cs="Arial"/>
                <w:b/>
                <w:bCs/>
                <w:color w:val="000000"/>
                <w:sz w:val="16"/>
                <w:szCs w:val="16"/>
                <w:lang w:eastAsia="es-MX"/>
              </w:rPr>
              <w:t>Arancelaria</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NICO</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Descripción NICO</w:t>
            </w:r>
          </w:p>
        </w:tc>
      </w:tr>
      <w:tr w:rsidR="002220A7" w:rsidRPr="002220A7" w:rsidTr="002220A7">
        <w:trPr>
          <w:trHeight w:val="541"/>
        </w:trPr>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7225.30.07</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08</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Decapados de espesor superior o igual a 4.75 mm, excepto lo comprendido en el número de identificación comercial 7225.30.07.07.</w:t>
            </w:r>
          </w:p>
        </w:tc>
      </w:tr>
      <w:tr w:rsidR="002220A7" w:rsidRPr="002220A7" w:rsidTr="002220A7">
        <w:trPr>
          <w:trHeight w:val="321"/>
        </w:trPr>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7225.50.07</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92</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 xml:space="preserve">Los demás de acero para </w:t>
            </w:r>
            <w:proofErr w:type="spellStart"/>
            <w:r w:rsidRPr="002220A7">
              <w:rPr>
                <w:rFonts w:ascii="Arial" w:eastAsia="Times New Roman" w:hAnsi="Arial" w:cs="Arial"/>
                <w:color w:val="000000"/>
                <w:sz w:val="16"/>
                <w:szCs w:val="16"/>
                <w:lang w:eastAsia="es-MX"/>
              </w:rPr>
              <w:t>porcelanizar</w:t>
            </w:r>
            <w:proofErr w:type="spellEnd"/>
            <w:r w:rsidRPr="002220A7">
              <w:rPr>
                <w:rFonts w:ascii="Arial" w:eastAsia="Times New Roman" w:hAnsi="Arial" w:cs="Arial"/>
                <w:color w:val="000000"/>
                <w:sz w:val="16"/>
                <w:szCs w:val="16"/>
                <w:lang w:eastAsia="es-MX"/>
              </w:rPr>
              <w:t>.</w:t>
            </w:r>
          </w:p>
        </w:tc>
      </w:tr>
      <w:tr w:rsidR="002220A7" w:rsidRPr="002220A7" w:rsidTr="002220A7">
        <w:trPr>
          <w:trHeight w:val="336"/>
        </w:trPr>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7306.61.01</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91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Los demás galvanizados.</w:t>
            </w:r>
          </w:p>
        </w:tc>
      </w:tr>
    </w:tbl>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 </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b/>
          <w:bCs/>
          <w:color w:val="2F2F2F"/>
          <w:sz w:val="18"/>
          <w:szCs w:val="18"/>
          <w:lang w:eastAsia="es-MX"/>
        </w:rPr>
        <w:t>Artículo Segundo.- </w:t>
      </w:r>
      <w:r w:rsidRPr="002220A7">
        <w:rPr>
          <w:rFonts w:ascii="Arial" w:eastAsia="Times New Roman" w:hAnsi="Arial" w:cs="Arial"/>
          <w:color w:val="2F2F2F"/>
          <w:sz w:val="18"/>
          <w:szCs w:val="18"/>
          <w:lang w:eastAsia="es-MX"/>
        </w:rPr>
        <w:t>Se </w:t>
      </w:r>
      <w:r w:rsidRPr="002220A7">
        <w:rPr>
          <w:rFonts w:ascii="Arial" w:eastAsia="Times New Roman" w:hAnsi="Arial" w:cs="Arial"/>
          <w:b/>
          <w:bCs/>
          <w:color w:val="2F2F2F"/>
          <w:sz w:val="18"/>
          <w:szCs w:val="18"/>
          <w:lang w:eastAsia="es-MX"/>
        </w:rPr>
        <w:t>modifica</w:t>
      </w:r>
      <w:r w:rsidRPr="002220A7">
        <w:rPr>
          <w:rFonts w:ascii="Arial" w:eastAsia="Times New Roman" w:hAnsi="Arial" w:cs="Arial"/>
          <w:color w:val="2F2F2F"/>
          <w:sz w:val="18"/>
          <w:szCs w:val="18"/>
          <w:lang w:eastAsia="es-MX"/>
        </w:rPr>
        <w:t> la descripción de los números de identificación comercial del Artículo Primero del Acuerdo por el que se dan a conocer los Números de Identificación Comercial (NICO) y sus tablas de correlación, publicado el 17 de noviembre de 2020 en el Diario Oficial de la Federación y sus posteriores modificaciones, conforme a lo siguiente:</w:t>
      </w:r>
    </w:p>
    <w:p w:rsidR="002220A7" w:rsidRPr="002220A7" w:rsidRDefault="002220A7" w:rsidP="002220A7">
      <w:pPr>
        <w:shd w:val="clear" w:color="auto" w:fill="FFFFFF"/>
        <w:spacing w:after="101" w:line="240" w:lineRule="auto"/>
        <w:jc w:val="center"/>
        <w:rPr>
          <w:rFonts w:ascii="Arial" w:eastAsia="Times New Roman" w:hAnsi="Arial" w:cs="Arial"/>
          <w:color w:val="2F2F2F"/>
          <w:sz w:val="18"/>
          <w:szCs w:val="18"/>
          <w:lang w:eastAsia="es-MX"/>
        </w:rPr>
      </w:pPr>
      <w:r w:rsidRPr="002220A7">
        <w:rPr>
          <w:rFonts w:ascii="Arial" w:eastAsia="Times New Roman" w:hAnsi="Arial" w:cs="Arial"/>
          <w:b/>
          <w:bCs/>
          <w:color w:val="2F2F2F"/>
          <w:sz w:val="18"/>
          <w:szCs w:val="18"/>
          <w:lang w:eastAsia="es-MX"/>
        </w:rPr>
        <w:t>Números de Identificación Comercial (NICO)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3"/>
        <w:gridCol w:w="1074"/>
        <w:gridCol w:w="6095"/>
      </w:tblGrid>
      <w:tr w:rsidR="002220A7" w:rsidRPr="002220A7" w:rsidTr="002220A7">
        <w:trPr>
          <w:trHeight w:val="556"/>
        </w:trPr>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Fracción</w:t>
            </w:r>
            <w:r w:rsidRPr="002220A7">
              <w:rPr>
                <w:rFonts w:ascii="Arial" w:eastAsia="Times New Roman" w:hAnsi="Arial" w:cs="Arial"/>
                <w:color w:val="000000"/>
                <w:sz w:val="16"/>
                <w:szCs w:val="16"/>
                <w:lang w:eastAsia="es-MX"/>
              </w:rPr>
              <w:br/>
            </w:r>
            <w:r w:rsidRPr="002220A7">
              <w:rPr>
                <w:rFonts w:ascii="Arial" w:eastAsia="Times New Roman" w:hAnsi="Arial" w:cs="Arial"/>
                <w:b/>
                <w:bCs/>
                <w:color w:val="000000"/>
                <w:sz w:val="16"/>
                <w:szCs w:val="16"/>
                <w:lang w:eastAsia="es-MX"/>
              </w:rPr>
              <w:t>Arancelaria</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NICO</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Descripción NICO</w:t>
            </w:r>
          </w:p>
        </w:tc>
      </w:tr>
      <w:tr w:rsidR="002220A7" w:rsidRPr="002220A7" w:rsidTr="002220A7">
        <w:trPr>
          <w:trHeight w:val="321"/>
        </w:trPr>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7225.50.07</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10</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 xml:space="preserve">De acero para </w:t>
            </w:r>
            <w:proofErr w:type="spellStart"/>
            <w:r w:rsidRPr="002220A7">
              <w:rPr>
                <w:rFonts w:ascii="Arial" w:eastAsia="Times New Roman" w:hAnsi="Arial" w:cs="Arial"/>
                <w:color w:val="000000"/>
                <w:sz w:val="16"/>
                <w:szCs w:val="16"/>
                <w:lang w:eastAsia="es-MX"/>
              </w:rPr>
              <w:t>porcelanizar</w:t>
            </w:r>
            <w:proofErr w:type="spellEnd"/>
            <w:r w:rsidRPr="002220A7">
              <w:rPr>
                <w:rFonts w:ascii="Arial" w:eastAsia="Times New Roman" w:hAnsi="Arial" w:cs="Arial"/>
                <w:color w:val="000000"/>
                <w:sz w:val="16"/>
                <w:szCs w:val="16"/>
                <w:lang w:eastAsia="es-MX"/>
              </w:rPr>
              <w:t xml:space="preserve">, de espesor superior o igual a 4.75 </w:t>
            </w:r>
            <w:proofErr w:type="spellStart"/>
            <w:r w:rsidRPr="002220A7">
              <w:rPr>
                <w:rFonts w:ascii="Arial" w:eastAsia="Times New Roman" w:hAnsi="Arial" w:cs="Arial"/>
                <w:color w:val="000000"/>
                <w:sz w:val="16"/>
                <w:szCs w:val="16"/>
                <w:lang w:eastAsia="es-MX"/>
              </w:rPr>
              <w:t>mm.</w:t>
            </w:r>
            <w:proofErr w:type="spellEnd"/>
          </w:p>
        </w:tc>
      </w:tr>
      <w:tr w:rsidR="002220A7" w:rsidRPr="002220A7" w:rsidTr="002220A7">
        <w:trPr>
          <w:trHeight w:val="321"/>
        </w:trPr>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7306.61.01</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03</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 xml:space="preserve">Galvanizados, con un espesor de pared superior o igual a 4 </w:t>
            </w:r>
            <w:proofErr w:type="spellStart"/>
            <w:r w:rsidRPr="002220A7">
              <w:rPr>
                <w:rFonts w:ascii="Arial" w:eastAsia="Times New Roman" w:hAnsi="Arial" w:cs="Arial"/>
                <w:color w:val="000000"/>
                <w:sz w:val="16"/>
                <w:szCs w:val="16"/>
                <w:lang w:eastAsia="es-MX"/>
              </w:rPr>
              <w:t>mm.</w:t>
            </w:r>
            <w:proofErr w:type="spellEnd"/>
          </w:p>
        </w:tc>
      </w:tr>
      <w:tr w:rsidR="002220A7" w:rsidRPr="002220A7" w:rsidTr="002220A7">
        <w:trPr>
          <w:trHeight w:val="556"/>
        </w:trPr>
        <w:tc>
          <w:tcPr>
            <w:tcW w:w="15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8541.40.04</w:t>
            </w:r>
          </w:p>
        </w:tc>
        <w:tc>
          <w:tcPr>
            <w:tcW w:w="1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01</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Dispositivos semiconductores fotosensibles, excepto los comprendidos en los números de identificación comercial 8541.40.04.02 y 8541.40.04.03.</w:t>
            </w:r>
          </w:p>
        </w:tc>
      </w:tr>
    </w:tbl>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 </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b/>
          <w:bCs/>
          <w:color w:val="2F2F2F"/>
          <w:sz w:val="18"/>
          <w:szCs w:val="18"/>
          <w:lang w:eastAsia="es-MX"/>
        </w:rPr>
        <w:t>Artículo Tercero.- </w:t>
      </w:r>
      <w:r w:rsidRPr="002220A7">
        <w:rPr>
          <w:rFonts w:ascii="Arial" w:eastAsia="Times New Roman" w:hAnsi="Arial" w:cs="Arial"/>
          <w:color w:val="2F2F2F"/>
          <w:sz w:val="18"/>
          <w:szCs w:val="18"/>
          <w:lang w:eastAsia="es-MX"/>
        </w:rPr>
        <w:t>Se </w:t>
      </w:r>
      <w:r w:rsidRPr="002220A7">
        <w:rPr>
          <w:rFonts w:ascii="Arial" w:eastAsia="Times New Roman" w:hAnsi="Arial" w:cs="Arial"/>
          <w:b/>
          <w:bCs/>
          <w:color w:val="2F2F2F"/>
          <w:sz w:val="18"/>
          <w:szCs w:val="18"/>
          <w:lang w:eastAsia="es-MX"/>
        </w:rPr>
        <w:t>suprimen</w:t>
      </w:r>
      <w:r w:rsidRPr="002220A7">
        <w:rPr>
          <w:rFonts w:ascii="Arial" w:eastAsia="Times New Roman" w:hAnsi="Arial" w:cs="Arial"/>
          <w:color w:val="2F2F2F"/>
          <w:sz w:val="18"/>
          <w:szCs w:val="18"/>
          <w:lang w:eastAsia="es-MX"/>
        </w:rPr>
        <w:t> del Artículo Primero del Acuerdo por el que se dan a conocer los Números de Identificación Comercial (NICO) y sus tablas de correlación, publicado el 17 de noviembre de 2020 en el Diario Oficial de la Federación y sus posteriores modificaciones, los números de identificación comercial siguientes:</w:t>
      </w:r>
    </w:p>
    <w:p w:rsidR="002220A7" w:rsidRPr="002220A7" w:rsidRDefault="002220A7" w:rsidP="002220A7">
      <w:pPr>
        <w:shd w:val="clear" w:color="auto" w:fill="FFFFFF"/>
        <w:spacing w:after="101" w:line="240" w:lineRule="auto"/>
        <w:jc w:val="center"/>
        <w:rPr>
          <w:rFonts w:ascii="Arial" w:eastAsia="Times New Roman" w:hAnsi="Arial" w:cs="Arial"/>
          <w:color w:val="2F2F2F"/>
          <w:sz w:val="18"/>
          <w:szCs w:val="18"/>
          <w:lang w:eastAsia="es-MX"/>
        </w:rPr>
      </w:pPr>
      <w:r w:rsidRPr="002220A7">
        <w:rPr>
          <w:rFonts w:ascii="Arial" w:eastAsia="Times New Roman" w:hAnsi="Arial" w:cs="Arial"/>
          <w:b/>
          <w:bCs/>
          <w:color w:val="2F2F2F"/>
          <w:sz w:val="18"/>
          <w:szCs w:val="18"/>
          <w:lang w:eastAsia="es-MX"/>
        </w:rPr>
        <w:t>Números de Identificación Comercial (NICO)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23"/>
        <w:gridCol w:w="807"/>
        <w:gridCol w:w="6382"/>
      </w:tblGrid>
      <w:tr w:rsidR="002220A7" w:rsidRPr="002220A7" w:rsidTr="002220A7">
        <w:trPr>
          <w:trHeight w:val="556"/>
        </w:trPr>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Fracción</w:t>
            </w:r>
            <w:r w:rsidRPr="002220A7">
              <w:rPr>
                <w:rFonts w:ascii="Arial" w:eastAsia="Times New Roman" w:hAnsi="Arial" w:cs="Arial"/>
                <w:color w:val="000000"/>
                <w:sz w:val="16"/>
                <w:szCs w:val="16"/>
                <w:lang w:eastAsia="es-MX"/>
              </w:rPr>
              <w:br/>
            </w:r>
            <w:r w:rsidRPr="002220A7">
              <w:rPr>
                <w:rFonts w:ascii="Arial" w:eastAsia="Times New Roman" w:hAnsi="Arial" w:cs="Arial"/>
                <w:b/>
                <w:bCs/>
                <w:color w:val="000000"/>
                <w:sz w:val="16"/>
                <w:szCs w:val="16"/>
                <w:lang w:eastAsia="es-MX"/>
              </w:rPr>
              <w:t>Arancelaria</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NICO</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b/>
                <w:bCs/>
                <w:color w:val="000000"/>
                <w:sz w:val="16"/>
                <w:szCs w:val="16"/>
                <w:lang w:eastAsia="es-MX"/>
              </w:rPr>
              <w:t>Descripción NICO</w:t>
            </w:r>
          </w:p>
        </w:tc>
      </w:tr>
      <w:tr w:rsidR="002220A7" w:rsidRPr="002220A7" w:rsidTr="002220A7">
        <w:trPr>
          <w:trHeight w:val="321"/>
        </w:trPr>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1702.60.03</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01</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SUPRIMIDO</w:t>
            </w:r>
          </w:p>
        </w:tc>
      </w:tr>
      <w:tr w:rsidR="002220A7" w:rsidRPr="002220A7" w:rsidTr="002220A7">
        <w:trPr>
          <w:trHeight w:val="321"/>
        </w:trPr>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1702.60.03</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02</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SUPRIMIDO</w:t>
            </w:r>
          </w:p>
        </w:tc>
      </w:tr>
      <w:tr w:rsidR="002220A7" w:rsidRPr="002220A7" w:rsidTr="002220A7">
        <w:trPr>
          <w:trHeight w:val="321"/>
        </w:trPr>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8544.42.99</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05</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SUPRIMIDO</w:t>
            </w:r>
          </w:p>
        </w:tc>
      </w:tr>
      <w:tr w:rsidR="002220A7" w:rsidRPr="002220A7" w:rsidTr="002220A7">
        <w:trPr>
          <w:trHeight w:val="321"/>
        </w:trPr>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8544.42.99</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06</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SUPRIMIDO</w:t>
            </w:r>
          </w:p>
        </w:tc>
      </w:tr>
      <w:tr w:rsidR="002220A7" w:rsidRPr="002220A7" w:rsidTr="002220A7">
        <w:trPr>
          <w:trHeight w:val="336"/>
        </w:trPr>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8544.49.99</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center"/>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91</w:t>
            </w:r>
          </w:p>
        </w:tc>
        <w:tc>
          <w:tcPr>
            <w:tcW w:w="63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220A7" w:rsidRPr="002220A7" w:rsidRDefault="002220A7" w:rsidP="002220A7">
            <w:pPr>
              <w:spacing w:after="101" w:line="240" w:lineRule="auto"/>
              <w:jc w:val="both"/>
              <w:rPr>
                <w:rFonts w:ascii="Arial" w:eastAsia="Times New Roman" w:hAnsi="Arial" w:cs="Arial"/>
                <w:color w:val="000000"/>
                <w:sz w:val="16"/>
                <w:szCs w:val="16"/>
                <w:lang w:eastAsia="es-MX"/>
              </w:rPr>
            </w:pPr>
            <w:r w:rsidRPr="002220A7">
              <w:rPr>
                <w:rFonts w:ascii="Arial" w:eastAsia="Times New Roman" w:hAnsi="Arial" w:cs="Arial"/>
                <w:color w:val="000000"/>
                <w:sz w:val="16"/>
                <w:szCs w:val="16"/>
                <w:lang w:eastAsia="es-MX"/>
              </w:rPr>
              <w:t>SUPRIMIDO</w:t>
            </w:r>
          </w:p>
        </w:tc>
      </w:tr>
    </w:tbl>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 </w:t>
      </w:r>
    </w:p>
    <w:p w:rsidR="002220A7" w:rsidRPr="002220A7" w:rsidRDefault="002220A7" w:rsidP="002220A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20A7">
        <w:rPr>
          <w:rFonts w:ascii="Times" w:eastAsia="Times New Roman" w:hAnsi="Times" w:cs="Times New Roman"/>
          <w:b/>
          <w:bCs/>
          <w:color w:val="2F2F2F"/>
          <w:sz w:val="18"/>
          <w:szCs w:val="18"/>
          <w:lang w:eastAsia="es-MX"/>
        </w:rPr>
        <w:lastRenderedPageBreak/>
        <w:t>TRANSITORIO</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b/>
          <w:bCs/>
          <w:color w:val="2F2F2F"/>
          <w:sz w:val="18"/>
          <w:szCs w:val="18"/>
          <w:lang w:eastAsia="es-MX"/>
        </w:rPr>
        <w:t>ÚNICO.-</w:t>
      </w:r>
      <w:r w:rsidRPr="002220A7">
        <w:rPr>
          <w:rFonts w:ascii="Arial" w:eastAsia="Times New Roman" w:hAnsi="Arial" w:cs="Arial"/>
          <w:color w:val="2F2F2F"/>
          <w:sz w:val="18"/>
          <w:szCs w:val="18"/>
          <w:lang w:eastAsia="es-MX"/>
        </w:rPr>
        <w:t> El presente Acuerdo entrará en vigor el día siguiente al de su publicación en el Diario Oficial de la Federación.</w:t>
      </w:r>
    </w:p>
    <w:p w:rsidR="002220A7" w:rsidRPr="002220A7" w:rsidRDefault="002220A7" w:rsidP="002220A7">
      <w:pPr>
        <w:shd w:val="clear" w:color="auto" w:fill="FFFFFF"/>
        <w:spacing w:after="101" w:line="240" w:lineRule="auto"/>
        <w:ind w:firstLine="288"/>
        <w:jc w:val="both"/>
        <w:rPr>
          <w:rFonts w:ascii="Arial" w:eastAsia="Times New Roman" w:hAnsi="Arial" w:cs="Arial"/>
          <w:color w:val="2F2F2F"/>
          <w:sz w:val="18"/>
          <w:szCs w:val="18"/>
          <w:lang w:eastAsia="es-MX"/>
        </w:rPr>
      </w:pPr>
      <w:r w:rsidRPr="002220A7">
        <w:rPr>
          <w:rFonts w:ascii="Arial" w:eastAsia="Times New Roman" w:hAnsi="Arial" w:cs="Arial"/>
          <w:color w:val="2F2F2F"/>
          <w:sz w:val="18"/>
          <w:szCs w:val="18"/>
          <w:lang w:eastAsia="es-MX"/>
        </w:rPr>
        <w:t>Ciudad de México, a 24 de noviembre de 2021.- La Secretaria de Economía, </w:t>
      </w:r>
      <w:r w:rsidRPr="002220A7">
        <w:rPr>
          <w:rFonts w:ascii="Arial" w:eastAsia="Times New Roman" w:hAnsi="Arial" w:cs="Arial"/>
          <w:b/>
          <w:bCs/>
          <w:color w:val="2F2F2F"/>
          <w:sz w:val="18"/>
          <w:szCs w:val="18"/>
          <w:lang w:eastAsia="es-MX"/>
        </w:rPr>
        <w:t xml:space="preserve">Tatiana </w:t>
      </w:r>
      <w:proofErr w:type="spellStart"/>
      <w:r w:rsidRPr="002220A7">
        <w:rPr>
          <w:rFonts w:ascii="Arial" w:eastAsia="Times New Roman" w:hAnsi="Arial" w:cs="Arial"/>
          <w:b/>
          <w:bCs/>
          <w:color w:val="2F2F2F"/>
          <w:sz w:val="18"/>
          <w:szCs w:val="18"/>
          <w:lang w:eastAsia="es-MX"/>
        </w:rPr>
        <w:t>Clouthier</w:t>
      </w:r>
      <w:proofErr w:type="spellEnd"/>
      <w:r w:rsidRPr="002220A7">
        <w:rPr>
          <w:rFonts w:ascii="Arial" w:eastAsia="Times New Roman" w:hAnsi="Arial" w:cs="Arial"/>
          <w:b/>
          <w:bCs/>
          <w:color w:val="2F2F2F"/>
          <w:sz w:val="18"/>
          <w:szCs w:val="18"/>
          <w:lang w:eastAsia="es-MX"/>
        </w:rPr>
        <w:t> Carrillo</w:t>
      </w:r>
      <w:r w:rsidRPr="002220A7">
        <w:rPr>
          <w:rFonts w:ascii="Arial" w:eastAsia="Times New Roman" w:hAnsi="Arial" w:cs="Arial"/>
          <w:color w:val="2F2F2F"/>
          <w:sz w:val="18"/>
          <w:szCs w:val="18"/>
          <w:lang w:eastAsia="es-MX"/>
        </w:rPr>
        <w:t>.- Rúbrica.</w:t>
      </w:r>
    </w:p>
    <w:sectPr w:rsidR="002220A7" w:rsidRPr="002220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A7"/>
    <w:rsid w:val="002220A7"/>
    <w:rsid w:val="002D367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94483">
      <w:bodyDiv w:val="1"/>
      <w:marLeft w:val="0"/>
      <w:marRight w:val="0"/>
      <w:marTop w:val="0"/>
      <w:marBottom w:val="0"/>
      <w:divBdr>
        <w:top w:val="none" w:sz="0" w:space="0" w:color="auto"/>
        <w:left w:val="none" w:sz="0" w:space="0" w:color="auto"/>
        <w:bottom w:val="none" w:sz="0" w:space="0" w:color="auto"/>
        <w:right w:val="none" w:sz="0" w:space="0" w:color="auto"/>
      </w:divBdr>
      <w:divsChild>
        <w:div w:id="1951165388">
          <w:marLeft w:val="0"/>
          <w:marRight w:val="0"/>
          <w:marTop w:val="0"/>
          <w:marBottom w:val="101"/>
          <w:divBdr>
            <w:top w:val="none" w:sz="0" w:space="0" w:color="auto"/>
            <w:left w:val="none" w:sz="0" w:space="0" w:color="auto"/>
            <w:bottom w:val="none" w:sz="0" w:space="0" w:color="auto"/>
            <w:right w:val="none" w:sz="0" w:space="0" w:color="auto"/>
          </w:divBdr>
        </w:div>
        <w:div w:id="143012663">
          <w:marLeft w:val="0"/>
          <w:marRight w:val="0"/>
          <w:marTop w:val="101"/>
          <w:marBottom w:val="101"/>
          <w:divBdr>
            <w:top w:val="none" w:sz="0" w:space="0" w:color="auto"/>
            <w:left w:val="none" w:sz="0" w:space="0" w:color="auto"/>
            <w:bottom w:val="none" w:sz="0" w:space="0" w:color="auto"/>
            <w:right w:val="none" w:sz="0" w:space="0" w:color="auto"/>
          </w:divBdr>
        </w:div>
        <w:div w:id="1307512339">
          <w:marLeft w:val="0"/>
          <w:marRight w:val="0"/>
          <w:marTop w:val="0"/>
          <w:marBottom w:val="101"/>
          <w:divBdr>
            <w:top w:val="none" w:sz="0" w:space="0" w:color="auto"/>
            <w:left w:val="none" w:sz="0" w:space="0" w:color="auto"/>
            <w:bottom w:val="none" w:sz="0" w:space="0" w:color="auto"/>
            <w:right w:val="none" w:sz="0" w:space="0" w:color="auto"/>
          </w:divBdr>
        </w:div>
        <w:div w:id="2102410964">
          <w:marLeft w:val="0"/>
          <w:marRight w:val="0"/>
          <w:marTop w:val="0"/>
          <w:marBottom w:val="101"/>
          <w:divBdr>
            <w:top w:val="none" w:sz="0" w:space="0" w:color="auto"/>
            <w:left w:val="none" w:sz="0" w:space="0" w:color="auto"/>
            <w:bottom w:val="none" w:sz="0" w:space="0" w:color="auto"/>
            <w:right w:val="none" w:sz="0" w:space="0" w:color="auto"/>
          </w:divBdr>
        </w:div>
        <w:div w:id="1893883379">
          <w:marLeft w:val="0"/>
          <w:marRight w:val="0"/>
          <w:marTop w:val="0"/>
          <w:marBottom w:val="101"/>
          <w:divBdr>
            <w:top w:val="none" w:sz="0" w:space="0" w:color="auto"/>
            <w:left w:val="none" w:sz="0" w:space="0" w:color="auto"/>
            <w:bottom w:val="none" w:sz="0" w:space="0" w:color="auto"/>
            <w:right w:val="none" w:sz="0" w:space="0" w:color="auto"/>
          </w:divBdr>
        </w:div>
        <w:div w:id="1768693232">
          <w:marLeft w:val="0"/>
          <w:marRight w:val="0"/>
          <w:marTop w:val="0"/>
          <w:marBottom w:val="101"/>
          <w:divBdr>
            <w:top w:val="none" w:sz="0" w:space="0" w:color="auto"/>
            <w:left w:val="none" w:sz="0" w:space="0" w:color="auto"/>
            <w:bottom w:val="none" w:sz="0" w:space="0" w:color="auto"/>
            <w:right w:val="none" w:sz="0" w:space="0" w:color="auto"/>
          </w:divBdr>
        </w:div>
        <w:div w:id="141898422">
          <w:marLeft w:val="0"/>
          <w:marRight w:val="0"/>
          <w:marTop w:val="0"/>
          <w:marBottom w:val="101"/>
          <w:divBdr>
            <w:top w:val="none" w:sz="0" w:space="0" w:color="auto"/>
            <w:left w:val="none" w:sz="0" w:space="0" w:color="auto"/>
            <w:bottom w:val="none" w:sz="0" w:space="0" w:color="auto"/>
            <w:right w:val="none" w:sz="0" w:space="0" w:color="auto"/>
          </w:divBdr>
        </w:div>
        <w:div w:id="2133133530">
          <w:marLeft w:val="0"/>
          <w:marRight w:val="0"/>
          <w:marTop w:val="0"/>
          <w:marBottom w:val="101"/>
          <w:divBdr>
            <w:top w:val="none" w:sz="0" w:space="0" w:color="auto"/>
            <w:left w:val="none" w:sz="0" w:space="0" w:color="auto"/>
            <w:bottom w:val="none" w:sz="0" w:space="0" w:color="auto"/>
            <w:right w:val="none" w:sz="0" w:space="0" w:color="auto"/>
          </w:divBdr>
        </w:div>
        <w:div w:id="374235941">
          <w:marLeft w:val="0"/>
          <w:marRight w:val="0"/>
          <w:marTop w:val="0"/>
          <w:marBottom w:val="101"/>
          <w:divBdr>
            <w:top w:val="none" w:sz="0" w:space="0" w:color="auto"/>
            <w:left w:val="none" w:sz="0" w:space="0" w:color="auto"/>
            <w:bottom w:val="none" w:sz="0" w:space="0" w:color="auto"/>
            <w:right w:val="none" w:sz="0" w:space="0" w:color="auto"/>
          </w:divBdr>
        </w:div>
        <w:div w:id="867597391">
          <w:marLeft w:val="0"/>
          <w:marRight w:val="0"/>
          <w:marTop w:val="0"/>
          <w:marBottom w:val="101"/>
          <w:divBdr>
            <w:top w:val="none" w:sz="0" w:space="0" w:color="auto"/>
            <w:left w:val="none" w:sz="0" w:space="0" w:color="auto"/>
            <w:bottom w:val="none" w:sz="0" w:space="0" w:color="auto"/>
            <w:right w:val="none" w:sz="0" w:space="0" w:color="auto"/>
          </w:divBdr>
        </w:div>
        <w:div w:id="281034801">
          <w:marLeft w:val="0"/>
          <w:marRight w:val="0"/>
          <w:marTop w:val="0"/>
          <w:marBottom w:val="101"/>
          <w:divBdr>
            <w:top w:val="none" w:sz="0" w:space="0" w:color="auto"/>
            <w:left w:val="none" w:sz="0" w:space="0" w:color="auto"/>
            <w:bottom w:val="none" w:sz="0" w:space="0" w:color="auto"/>
            <w:right w:val="none" w:sz="0" w:space="0" w:color="auto"/>
          </w:divBdr>
        </w:div>
        <w:div w:id="646864992">
          <w:marLeft w:val="0"/>
          <w:marRight w:val="0"/>
          <w:marTop w:val="0"/>
          <w:marBottom w:val="101"/>
          <w:divBdr>
            <w:top w:val="none" w:sz="0" w:space="0" w:color="auto"/>
            <w:left w:val="none" w:sz="0" w:space="0" w:color="auto"/>
            <w:bottom w:val="none" w:sz="0" w:space="0" w:color="auto"/>
            <w:right w:val="none" w:sz="0" w:space="0" w:color="auto"/>
          </w:divBdr>
        </w:div>
        <w:div w:id="1590774267">
          <w:marLeft w:val="0"/>
          <w:marRight w:val="0"/>
          <w:marTop w:val="101"/>
          <w:marBottom w:val="101"/>
          <w:divBdr>
            <w:top w:val="none" w:sz="0" w:space="0" w:color="auto"/>
            <w:left w:val="none" w:sz="0" w:space="0" w:color="auto"/>
            <w:bottom w:val="none" w:sz="0" w:space="0" w:color="auto"/>
            <w:right w:val="none" w:sz="0" w:space="0" w:color="auto"/>
          </w:divBdr>
        </w:div>
        <w:div w:id="1340232654">
          <w:marLeft w:val="0"/>
          <w:marRight w:val="0"/>
          <w:marTop w:val="0"/>
          <w:marBottom w:val="101"/>
          <w:divBdr>
            <w:top w:val="none" w:sz="0" w:space="0" w:color="auto"/>
            <w:left w:val="none" w:sz="0" w:space="0" w:color="auto"/>
            <w:bottom w:val="none" w:sz="0" w:space="0" w:color="auto"/>
            <w:right w:val="none" w:sz="0" w:space="0" w:color="auto"/>
          </w:divBdr>
        </w:div>
        <w:div w:id="907109663">
          <w:marLeft w:val="0"/>
          <w:marRight w:val="0"/>
          <w:marTop w:val="0"/>
          <w:marBottom w:val="101"/>
          <w:divBdr>
            <w:top w:val="none" w:sz="0" w:space="0" w:color="auto"/>
            <w:left w:val="none" w:sz="0" w:space="0" w:color="auto"/>
            <w:bottom w:val="none" w:sz="0" w:space="0" w:color="auto"/>
            <w:right w:val="none" w:sz="0" w:space="0" w:color="auto"/>
          </w:divBdr>
        </w:div>
        <w:div w:id="2033795409">
          <w:marLeft w:val="0"/>
          <w:marRight w:val="0"/>
          <w:marTop w:val="0"/>
          <w:marBottom w:val="101"/>
          <w:divBdr>
            <w:top w:val="none" w:sz="0" w:space="0" w:color="auto"/>
            <w:left w:val="none" w:sz="0" w:space="0" w:color="auto"/>
            <w:bottom w:val="none" w:sz="0" w:space="0" w:color="auto"/>
            <w:right w:val="none" w:sz="0" w:space="0" w:color="auto"/>
          </w:divBdr>
        </w:div>
        <w:div w:id="1446265511">
          <w:marLeft w:val="0"/>
          <w:marRight w:val="0"/>
          <w:marTop w:val="0"/>
          <w:marBottom w:val="101"/>
          <w:divBdr>
            <w:top w:val="none" w:sz="0" w:space="0" w:color="auto"/>
            <w:left w:val="none" w:sz="0" w:space="0" w:color="auto"/>
            <w:bottom w:val="none" w:sz="0" w:space="0" w:color="auto"/>
            <w:right w:val="none" w:sz="0" w:space="0" w:color="auto"/>
          </w:divBdr>
        </w:div>
        <w:div w:id="513156381">
          <w:marLeft w:val="0"/>
          <w:marRight w:val="0"/>
          <w:marTop w:val="0"/>
          <w:marBottom w:val="101"/>
          <w:divBdr>
            <w:top w:val="none" w:sz="0" w:space="0" w:color="auto"/>
            <w:left w:val="none" w:sz="0" w:space="0" w:color="auto"/>
            <w:bottom w:val="none" w:sz="0" w:space="0" w:color="auto"/>
            <w:right w:val="none" w:sz="0" w:space="0" w:color="auto"/>
          </w:divBdr>
        </w:div>
        <w:div w:id="1276980774">
          <w:marLeft w:val="0"/>
          <w:marRight w:val="0"/>
          <w:marTop w:val="0"/>
          <w:marBottom w:val="101"/>
          <w:divBdr>
            <w:top w:val="none" w:sz="0" w:space="0" w:color="auto"/>
            <w:left w:val="none" w:sz="0" w:space="0" w:color="auto"/>
            <w:bottom w:val="none" w:sz="0" w:space="0" w:color="auto"/>
            <w:right w:val="none" w:sz="0" w:space="0" w:color="auto"/>
          </w:divBdr>
        </w:div>
        <w:div w:id="2097823643">
          <w:marLeft w:val="0"/>
          <w:marRight w:val="0"/>
          <w:marTop w:val="0"/>
          <w:marBottom w:val="101"/>
          <w:divBdr>
            <w:top w:val="none" w:sz="0" w:space="0" w:color="auto"/>
            <w:left w:val="none" w:sz="0" w:space="0" w:color="auto"/>
            <w:bottom w:val="none" w:sz="0" w:space="0" w:color="auto"/>
            <w:right w:val="none" w:sz="0" w:space="0" w:color="auto"/>
          </w:divBdr>
        </w:div>
        <w:div w:id="896623149">
          <w:marLeft w:val="0"/>
          <w:marRight w:val="0"/>
          <w:marTop w:val="0"/>
          <w:marBottom w:val="101"/>
          <w:divBdr>
            <w:top w:val="none" w:sz="0" w:space="0" w:color="auto"/>
            <w:left w:val="none" w:sz="0" w:space="0" w:color="auto"/>
            <w:bottom w:val="none" w:sz="0" w:space="0" w:color="auto"/>
            <w:right w:val="none" w:sz="0" w:space="0" w:color="auto"/>
          </w:divBdr>
        </w:div>
        <w:div w:id="41638641">
          <w:marLeft w:val="0"/>
          <w:marRight w:val="0"/>
          <w:marTop w:val="0"/>
          <w:marBottom w:val="101"/>
          <w:divBdr>
            <w:top w:val="none" w:sz="0" w:space="0" w:color="auto"/>
            <w:left w:val="none" w:sz="0" w:space="0" w:color="auto"/>
            <w:bottom w:val="none" w:sz="0" w:space="0" w:color="auto"/>
            <w:right w:val="none" w:sz="0" w:space="0" w:color="auto"/>
          </w:divBdr>
        </w:div>
        <w:div w:id="1628118005">
          <w:marLeft w:val="0"/>
          <w:marRight w:val="0"/>
          <w:marTop w:val="0"/>
          <w:marBottom w:val="101"/>
          <w:divBdr>
            <w:top w:val="none" w:sz="0" w:space="0" w:color="auto"/>
            <w:left w:val="none" w:sz="0" w:space="0" w:color="auto"/>
            <w:bottom w:val="none" w:sz="0" w:space="0" w:color="auto"/>
            <w:right w:val="none" w:sz="0" w:space="0" w:color="auto"/>
          </w:divBdr>
        </w:div>
        <w:div w:id="469329521">
          <w:marLeft w:val="0"/>
          <w:marRight w:val="0"/>
          <w:marTop w:val="0"/>
          <w:marBottom w:val="101"/>
          <w:divBdr>
            <w:top w:val="none" w:sz="0" w:space="0" w:color="auto"/>
            <w:left w:val="none" w:sz="0" w:space="0" w:color="auto"/>
            <w:bottom w:val="none" w:sz="0" w:space="0" w:color="auto"/>
            <w:right w:val="none" w:sz="0" w:space="0" w:color="auto"/>
          </w:divBdr>
        </w:div>
        <w:div w:id="424419015">
          <w:marLeft w:val="0"/>
          <w:marRight w:val="0"/>
          <w:marTop w:val="0"/>
          <w:marBottom w:val="101"/>
          <w:divBdr>
            <w:top w:val="none" w:sz="0" w:space="0" w:color="auto"/>
            <w:left w:val="none" w:sz="0" w:space="0" w:color="auto"/>
            <w:bottom w:val="none" w:sz="0" w:space="0" w:color="auto"/>
            <w:right w:val="none" w:sz="0" w:space="0" w:color="auto"/>
          </w:divBdr>
        </w:div>
        <w:div w:id="1129976130">
          <w:marLeft w:val="0"/>
          <w:marRight w:val="0"/>
          <w:marTop w:val="0"/>
          <w:marBottom w:val="101"/>
          <w:divBdr>
            <w:top w:val="none" w:sz="0" w:space="0" w:color="auto"/>
            <w:left w:val="none" w:sz="0" w:space="0" w:color="auto"/>
            <w:bottom w:val="none" w:sz="0" w:space="0" w:color="auto"/>
            <w:right w:val="none" w:sz="0" w:space="0" w:color="auto"/>
          </w:divBdr>
        </w:div>
        <w:div w:id="519854328">
          <w:marLeft w:val="0"/>
          <w:marRight w:val="0"/>
          <w:marTop w:val="0"/>
          <w:marBottom w:val="101"/>
          <w:divBdr>
            <w:top w:val="none" w:sz="0" w:space="0" w:color="auto"/>
            <w:left w:val="none" w:sz="0" w:space="0" w:color="auto"/>
            <w:bottom w:val="none" w:sz="0" w:space="0" w:color="auto"/>
            <w:right w:val="none" w:sz="0" w:space="0" w:color="auto"/>
          </w:divBdr>
        </w:div>
        <w:div w:id="1450323235">
          <w:marLeft w:val="0"/>
          <w:marRight w:val="0"/>
          <w:marTop w:val="0"/>
          <w:marBottom w:val="101"/>
          <w:divBdr>
            <w:top w:val="none" w:sz="0" w:space="0" w:color="auto"/>
            <w:left w:val="none" w:sz="0" w:space="0" w:color="auto"/>
            <w:bottom w:val="none" w:sz="0" w:space="0" w:color="auto"/>
            <w:right w:val="none" w:sz="0" w:space="0" w:color="auto"/>
          </w:divBdr>
        </w:div>
        <w:div w:id="742946242">
          <w:marLeft w:val="0"/>
          <w:marRight w:val="0"/>
          <w:marTop w:val="0"/>
          <w:marBottom w:val="101"/>
          <w:divBdr>
            <w:top w:val="none" w:sz="0" w:space="0" w:color="auto"/>
            <w:left w:val="none" w:sz="0" w:space="0" w:color="auto"/>
            <w:bottom w:val="none" w:sz="0" w:space="0" w:color="auto"/>
            <w:right w:val="none" w:sz="0" w:space="0" w:color="auto"/>
          </w:divBdr>
        </w:div>
        <w:div w:id="758403233">
          <w:marLeft w:val="0"/>
          <w:marRight w:val="0"/>
          <w:marTop w:val="0"/>
          <w:marBottom w:val="101"/>
          <w:divBdr>
            <w:top w:val="none" w:sz="0" w:space="0" w:color="auto"/>
            <w:left w:val="none" w:sz="0" w:space="0" w:color="auto"/>
            <w:bottom w:val="none" w:sz="0" w:space="0" w:color="auto"/>
            <w:right w:val="none" w:sz="0" w:space="0" w:color="auto"/>
          </w:divBdr>
        </w:div>
        <w:div w:id="1141532510">
          <w:marLeft w:val="0"/>
          <w:marRight w:val="0"/>
          <w:marTop w:val="0"/>
          <w:marBottom w:val="101"/>
          <w:divBdr>
            <w:top w:val="none" w:sz="0" w:space="0" w:color="auto"/>
            <w:left w:val="none" w:sz="0" w:space="0" w:color="auto"/>
            <w:bottom w:val="none" w:sz="0" w:space="0" w:color="auto"/>
            <w:right w:val="none" w:sz="0" w:space="0" w:color="auto"/>
          </w:divBdr>
        </w:div>
        <w:div w:id="497770563">
          <w:marLeft w:val="0"/>
          <w:marRight w:val="0"/>
          <w:marTop w:val="0"/>
          <w:marBottom w:val="101"/>
          <w:divBdr>
            <w:top w:val="none" w:sz="0" w:space="0" w:color="auto"/>
            <w:left w:val="none" w:sz="0" w:space="0" w:color="auto"/>
            <w:bottom w:val="none" w:sz="0" w:space="0" w:color="auto"/>
            <w:right w:val="none" w:sz="0" w:space="0" w:color="auto"/>
          </w:divBdr>
        </w:div>
        <w:div w:id="572937312">
          <w:marLeft w:val="0"/>
          <w:marRight w:val="0"/>
          <w:marTop w:val="0"/>
          <w:marBottom w:val="101"/>
          <w:divBdr>
            <w:top w:val="none" w:sz="0" w:space="0" w:color="auto"/>
            <w:left w:val="none" w:sz="0" w:space="0" w:color="auto"/>
            <w:bottom w:val="none" w:sz="0" w:space="0" w:color="auto"/>
            <w:right w:val="none" w:sz="0" w:space="0" w:color="auto"/>
          </w:divBdr>
        </w:div>
        <w:div w:id="2123373406">
          <w:marLeft w:val="0"/>
          <w:marRight w:val="0"/>
          <w:marTop w:val="0"/>
          <w:marBottom w:val="101"/>
          <w:divBdr>
            <w:top w:val="none" w:sz="0" w:space="0" w:color="auto"/>
            <w:left w:val="none" w:sz="0" w:space="0" w:color="auto"/>
            <w:bottom w:val="none" w:sz="0" w:space="0" w:color="auto"/>
            <w:right w:val="none" w:sz="0" w:space="0" w:color="auto"/>
          </w:divBdr>
        </w:div>
        <w:div w:id="2060667612">
          <w:marLeft w:val="0"/>
          <w:marRight w:val="0"/>
          <w:marTop w:val="0"/>
          <w:marBottom w:val="101"/>
          <w:divBdr>
            <w:top w:val="none" w:sz="0" w:space="0" w:color="auto"/>
            <w:left w:val="none" w:sz="0" w:space="0" w:color="auto"/>
            <w:bottom w:val="none" w:sz="0" w:space="0" w:color="auto"/>
            <w:right w:val="none" w:sz="0" w:space="0" w:color="auto"/>
          </w:divBdr>
        </w:div>
        <w:div w:id="2117480330">
          <w:marLeft w:val="0"/>
          <w:marRight w:val="0"/>
          <w:marTop w:val="0"/>
          <w:marBottom w:val="101"/>
          <w:divBdr>
            <w:top w:val="none" w:sz="0" w:space="0" w:color="auto"/>
            <w:left w:val="none" w:sz="0" w:space="0" w:color="auto"/>
            <w:bottom w:val="none" w:sz="0" w:space="0" w:color="auto"/>
            <w:right w:val="none" w:sz="0" w:space="0" w:color="auto"/>
          </w:divBdr>
        </w:div>
        <w:div w:id="1652901320">
          <w:marLeft w:val="0"/>
          <w:marRight w:val="0"/>
          <w:marTop w:val="0"/>
          <w:marBottom w:val="101"/>
          <w:divBdr>
            <w:top w:val="none" w:sz="0" w:space="0" w:color="auto"/>
            <w:left w:val="none" w:sz="0" w:space="0" w:color="auto"/>
            <w:bottom w:val="none" w:sz="0" w:space="0" w:color="auto"/>
            <w:right w:val="none" w:sz="0" w:space="0" w:color="auto"/>
          </w:divBdr>
        </w:div>
        <w:div w:id="615911615">
          <w:marLeft w:val="0"/>
          <w:marRight w:val="0"/>
          <w:marTop w:val="0"/>
          <w:marBottom w:val="101"/>
          <w:divBdr>
            <w:top w:val="none" w:sz="0" w:space="0" w:color="auto"/>
            <w:left w:val="none" w:sz="0" w:space="0" w:color="auto"/>
            <w:bottom w:val="none" w:sz="0" w:space="0" w:color="auto"/>
            <w:right w:val="none" w:sz="0" w:space="0" w:color="auto"/>
          </w:divBdr>
        </w:div>
        <w:div w:id="108277906">
          <w:marLeft w:val="0"/>
          <w:marRight w:val="0"/>
          <w:marTop w:val="0"/>
          <w:marBottom w:val="101"/>
          <w:divBdr>
            <w:top w:val="none" w:sz="0" w:space="0" w:color="auto"/>
            <w:left w:val="none" w:sz="0" w:space="0" w:color="auto"/>
            <w:bottom w:val="none" w:sz="0" w:space="0" w:color="auto"/>
            <w:right w:val="none" w:sz="0" w:space="0" w:color="auto"/>
          </w:divBdr>
        </w:div>
        <w:div w:id="1740059966">
          <w:marLeft w:val="0"/>
          <w:marRight w:val="0"/>
          <w:marTop w:val="0"/>
          <w:marBottom w:val="101"/>
          <w:divBdr>
            <w:top w:val="none" w:sz="0" w:space="0" w:color="auto"/>
            <w:left w:val="none" w:sz="0" w:space="0" w:color="auto"/>
            <w:bottom w:val="none" w:sz="0" w:space="0" w:color="auto"/>
            <w:right w:val="none" w:sz="0" w:space="0" w:color="auto"/>
          </w:divBdr>
        </w:div>
        <w:div w:id="310134600">
          <w:marLeft w:val="0"/>
          <w:marRight w:val="0"/>
          <w:marTop w:val="0"/>
          <w:marBottom w:val="101"/>
          <w:divBdr>
            <w:top w:val="none" w:sz="0" w:space="0" w:color="auto"/>
            <w:left w:val="none" w:sz="0" w:space="0" w:color="auto"/>
            <w:bottom w:val="none" w:sz="0" w:space="0" w:color="auto"/>
            <w:right w:val="none" w:sz="0" w:space="0" w:color="auto"/>
          </w:divBdr>
        </w:div>
        <w:div w:id="1010567621">
          <w:marLeft w:val="0"/>
          <w:marRight w:val="0"/>
          <w:marTop w:val="0"/>
          <w:marBottom w:val="101"/>
          <w:divBdr>
            <w:top w:val="none" w:sz="0" w:space="0" w:color="auto"/>
            <w:left w:val="none" w:sz="0" w:space="0" w:color="auto"/>
            <w:bottom w:val="none" w:sz="0" w:space="0" w:color="auto"/>
            <w:right w:val="none" w:sz="0" w:space="0" w:color="auto"/>
          </w:divBdr>
        </w:div>
        <w:div w:id="290137399">
          <w:marLeft w:val="0"/>
          <w:marRight w:val="0"/>
          <w:marTop w:val="0"/>
          <w:marBottom w:val="101"/>
          <w:divBdr>
            <w:top w:val="none" w:sz="0" w:space="0" w:color="auto"/>
            <w:left w:val="none" w:sz="0" w:space="0" w:color="auto"/>
            <w:bottom w:val="none" w:sz="0" w:space="0" w:color="auto"/>
            <w:right w:val="none" w:sz="0" w:space="0" w:color="auto"/>
          </w:divBdr>
        </w:div>
        <w:div w:id="1312833420">
          <w:marLeft w:val="0"/>
          <w:marRight w:val="0"/>
          <w:marTop w:val="0"/>
          <w:marBottom w:val="101"/>
          <w:divBdr>
            <w:top w:val="none" w:sz="0" w:space="0" w:color="auto"/>
            <w:left w:val="none" w:sz="0" w:space="0" w:color="auto"/>
            <w:bottom w:val="none" w:sz="0" w:space="0" w:color="auto"/>
            <w:right w:val="none" w:sz="0" w:space="0" w:color="auto"/>
          </w:divBdr>
        </w:div>
        <w:div w:id="75633280">
          <w:marLeft w:val="0"/>
          <w:marRight w:val="0"/>
          <w:marTop w:val="0"/>
          <w:marBottom w:val="101"/>
          <w:divBdr>
            <w:top w:val="none" w:sz="0" w:space="0" w:color="auto"/>
            <w:left w:val="none" w:sz="0" w:space="0" w:color="auto"/>
            <w:bottom w:val="none" w:sz="0" w:space="0" w:color="auto"/>
            <w:right w:val="none" w:sz="0" w:space="0" w:color="auto"/>
          </w:divBdr>
        </w:div>
        <w:div w:id="1249079186">
          <w:marLeft w:val="0"/>
          <w:marRight w:val="0"/>
          <w:marTop w:val="0"/>
          <w:marBottom w:val="101"/>
          <w:divBdr>
            <w:top w:val="none" w:sz="0" w:space="0" w:color="auto"/>
            <w:left w:val="none" w:sz="0" w:space="0" w:color="auto"/>
            <w:bottom w:val="none" w:sz="0" w:space="0" w:color="auto"/>
            <w:right w:val="none" w:sz="0" w:space="0" w:color="auto"/>
          </w:divBdr>
        </w:div>
        <w:div w:id="1628700865">
          <w:marLeft w:val="0"/>
          <w:marRight w:val="0"/>
          <w:marTop w:val="0"/>
          <w:marBottom w:val="101"/>
          <w:divBdr>
            <w:top w:val="none" w:sz="0" w:space="0" w:color="auto"/>
            <w:left w:val="none" w:sz="0" w:space="0" w:color="auto"/>
            <w:bottom w:val="none" w:sz="0" w:space="0" w:color="auto"/>
            <w:right w:val="none" w:sz="0" w:space="0" w:color="auto"/>
          </w:divBdr>
        </w:div>
        <w:div w:id="1650162441">
          <w:marLeft w:val="0"/>
          <w:marRight w:val="0"/>
          <w:marTop w:val="0"/>
          <w:marBottom w:val="101"/>
          <w:divBdr>
            <w:top w:val="none" w:sz="0" w:space="0" w:color="auto"/>
            <w:left w:val="none" w:sz="0" w:space="0" w:color="auto"/>
            <w:bottom w:val="none" w:sz="0" w:space="0" w:color="auto"/>
            <w:right w:val="none" w:sz="0" w:space="0" w:color="auto"/>
          </w:divBdr>
        </w:div>
        <w:div w:id="1056125757">
          <w:marLeft w:val="0"/>
          <w:marRight w:val="0"/>
          <w:marTop w:val="0"/>
          <w:marBottom w:val="101"/>
          <w:divBdr>
            <w:top w:val="none" w:sz="0" w:space="0" w:color="auto"/>
            <w:left w:val="none" w:sz="0" w:space="0" w:color="auto"/>
            <w:bottom w:val="none" w:sz="0" w:space="0" w:color="auto"/>
            <w:right w:val="none" w:sz="0" w:space="0" w:color="auto"/>
          </w:divBdr>
        </w:div>
        <w:div w:id="1244023138">
          <w:marLeft w:val="0"/>
          <w:marRight w:val="0"/>
          <w:marTop w:val="0"/>
          <w:marBottom w:val="101"/>
          <w:divBdr>
            <w:top w:val="none" w:sz="0" w:space="0" w:color="auto"/>
            <w:left w:val="none" w:sz="0" w:space="0" w:color="auto"/>
            <w:bottom w:val="none" w:sz="0" w:space="0" w:color="auto"/>
            <w:right w:val="none" w:sz="0" w:space="0" w:color="auto"/>
          </w:divBdr>
        </w:div>
        <w:div w:id="1330595596">
          <w:marLeft w:val="0"/>
          <w:marRight w:val="0"/>
          <w:marTop w:val="0"/>
          <w:marBottom w:val="101"/>
          <w:divBdr>
            <w:top w:val="none" w:sz="0" w:space="0" w:color="auto"/>
            <w:left w:val="none" w:sz="0" w:space="0" w:color="auto"/>
            <w:bottom w:val="none" w:sz="0" w:space="0" w:color="auto"/>
            <w:right w:val="none" w:sz="0" w:space="0" w:color="auto"/>
          </w:divBdr>
        </w:div>
        <w:div w:id="898781074">
          <w:marLeft w:val="0"/>
          <w:marRight w:val="0"/>
          <w:marTop w:val="0"/>
          <w:marBottom w:val="101"/>
          <w:divBdr>
            <w:top w:val="none" w:sz="0" w:space="0" w:color="auto"/>
            <w:left w:val="none" w:sz="0" w:space="0" w:color="auto"/>
            <w:bottom w:val="none" w:sz="0" w:space="0" w:color="auto"/>
            <w:right w:val="none" w:sz="0" w:space="0" w:color="auto"/>
          </w:divBdr>
        </w:div>
        <w:div w:id="999894026">
          <w:marLeft w:val="0"/>
          <w:marRight w:val="0"/>
          <w:marTop w:val="0"/>
          <w:marBottom w:val="101"/>
          <w:divBdr>
            <w:top w:val="none" w:sz="0" w:space="0" w:color="auto"/>
            <w:left w:val="none" w:sz="0" w:space="0" w:color="auto"/>
            <w:bottom w:val="none" w:sz="0" w:space="0" w:color="auto"/>
            <w:right w:val="none" w:sz="0" w:space="0" w:color="auto"/>
          </w:divBdr>
        </w:div>
        <w:div w:id="536938343">
          <w:marLeft w:val="0"/>
          <w:marRight w:val="0"/>
          <w:marTop w:val="0"/>
          <w:marBottom w:val="101"/>
          <w:divBdr>
            <w:top w:val="none" w:sz="0" w:space="0" w:color="auto"/>
            <w:left w:val="none" w:sz="0" w:space="0" w:color="auto"/>
            <w:bottom w:val="none" w:sz="0" w:space="0" w:color="auto"/>
            <w:right w:val="none" w:sz="0" w:space="0" w:color="auto"/>
          </w:divBdr>
        </w:div>
        <w:div w:id="394860868">
          <w:marLeft w:val="0"/>
          <w:marRight w:val="0"/>
          <w:marTop w:val="0"/>
          <w:marBottom w:val="101"/>
          <w:divBdr>
            <w:top w:val="none" w:sz="0" w:space="0" w:color="auto"/>
            <w:left w:val="none" w:sz="0" w:space="0" w:color="auto"/>
            <w:bottom w:val="none" w:sz="0" w:space="0" w:color="auto"/>
            <w:right w:val="none" w:sz="0" w:space="0" w:color="auto"/>
          </w:divBdr>
        </w:div>
        <w:div w:id="1270311833">
          <w:marLeft w:val="0"/>
          <w:marRight w:val="0"/>
          <w:marTop w:val="0"/>
          <w:marBottom w:val="101"/>
          <w:divBdr>
            <w:top w:val="none" w:sz="0" w:space="0" w:color="auto"/>
            <w:left w:val="none" w:sz="0" w:space="0" w:color="auto"/>
            <w:bottom w:val="none" w:sz="0" w:space="0" w:color="auto"/>
            <w:right w:val="none" w:sz="0" w:space="0" w:color="auto"/>
          </w:divBdr>
        </w:div>
        <w:div w:id="1758556663">
          <w:marLeft w:val="0"/>
          <w:marRight w:val="0"/>
          <w:marTop w:val="0"/>
          <w:marBottom w:val="101"/>
          <w:divBdr>
            <w:top w:val="none" w:sz="0" w:space="0" w:color="auto"/>
            <w:left w:val="none" w:sz="0" w:space="0" w:color="auto"/>
            <w:bottom w:val="none" w:sz="0" w:space="0" w:color="auto"/>
            <w:right w:val="none" w:sz="0" w:space="0" w:color="auto"/>
          </w:divBdr>
        </w:div>
        <w:div w:id="1067804699">
          <w:marLeft w:val="0"/>
          <w:marRight w:val="0"/>
          <w:marTop w:val="0"/>
          <w:marBottom w:val="101"/>
          <w:divBdr>
            <w:top w:val="none" w:sz="0" w:space="0" w:color="auto"/>
            <w:left w:val="none" w:sz="0" w:space="0" w:color="auto"/>
            <w:bottom w:val="none" w:sz="0" w:space="0" w:color="auto"/>
            <w:right w:val="none" w:sz="0" w:space="0" w:color="auto"/>
          </w:divBdr>
        </w:div>
        <w:div w:id="1787507617">
          <w:marLeft w:val="0"/>
          <w:marRight w:val="0"/>
          <w:marTop w:val="0"/>
          <w:marBottom w:val="101"/>
          <w:divBdr>
            <w:top w:val="none" w:sz="0" w:space="0" w:color="auto"/>
            <w:left w:val="none" w:sz="0" w:space="0" w:color="auto"/>
            <w:bottom w:val="none" w:sz="0" w:space="0" w:color="auto"/>
            <w:right w:val="none" w:sz="0" w:space="0" w:color="auto"/>
          </w:divBdr>
        </w:div>
        <w:div w:id="787891380">
          <w:marLeft w:val="0"/>
          <w:marRight w:val="0"/>
          <w:marTop w:val="0"/>
          <w:marBottom w:val="101"/>
          <w:divBdr>
            <w:top w:val="none" w:sz="0" w:space="0" w:color="auto"/>
            <w:left w:val="none" w:sz="0" w:space="0" w:color="auto"/>
            <w:bottom w:val="none" w:sz="0" w:space="0" w:color="auto"/>
            <w:right w:val="none" w:sz="0" w:space="0" w:color="auto"/>
          </w:divBdr>
        </w:div>
        <w:div w:id="1005399967">
          <w:marLeft w:val="0"/>
          <w:marRight w:val="0"/>
          <w:marTop w:val="0"/>
          <w:marBottom w:val="101"/>
          <w:divBdr>
            <w:top w:val="none" w:sz="0" w:space="0" w:color="auto"/>
            <w:left w:val="none" w:sz="0" w:space="0" w:color="auto"/>
            <w:bottom w:val="none" w:sz="0" w:space="0" w:color="auto"/>
            <w:right w:val="none" w:sz="0" w:space="0" w:color="auto"/>
          </w:divBdr>
        </w:div>
        <w:div w:id="236937242">
          <w:marLeft w:val="0"/>
          <w:marRight w:val="0"/>
          <w:marTop w:val="0"/>
          <w:marBottom w:val="101"/>
          <w:divBdr>
            <w:top w:val="none" w:sz="0" w:space="0" w:color="auto"/>
            <w:left w:val="none" w:sz="0" w:space="0" w:color="auto"/>
            <w:bottom w:val="none" w:sz="0" w:space="0" w:color="auto"/>
            <w:right w:val="none" w:sz="0" w:space="0" w:color="auto"/>
          </w:divBdr>
        </w:div>
        <w:div w:id="1899588841">
          <w:marLeft w:val="0"/>
          <w:marRight w:val="0"/>
          <w:marTop w:val="0"/>
          <w:marBottom w:val="101"/>
          <w:divBdr>
            <w:top w:val="none" w:sz="0" w:space="0" w:color="auto"/>
            <w:left w:val="none" w:sz="0" w:space="0" w:color="auto"/>
            <w:bottom w:val="none" w:sz="0" w:space="0" w:color="auto"/>
            <w:right w:val="none" w:sz="0" w:space="0" w:color="auto"/>
          </w:divBdr>
        </w:div>
        <w:div w:id="1994336853">
          <w:marLeft w:val="0"/>
          <w:marRight w:val="0"/>
          <w:marTop w:val="0"/>
          <w:marBottom w:val="101"/>
          <w:divBdr>
            <w:top w:val="none" w:sz="0" w:space="0" w:color="auto"/>
            <w:left w:val="none" w:sz="0" w:space="0" w:color="auto"/>
            <w:bottom w:val="none" w:sz="0" w:space="0" w:color="auto"/>
            <w:right w:val="none" w:sz="0" w:space="0" w:color="auto"/>
          </w:divBdr>
        </w:div>
        <w:div w:id="262298247">
          <w:marLeft w:val="0"/>
          <w:marRight w:val="0"/>
          <w:marTop w:val="101"/>
          <w:marBottom w:val="101"/>
          <w:divBdr>
            <w:top w:val="none" w:sz="0" w:space="0" w:color="auto"/>
            <w:left w:val="none" w:sz="0" w:space="0" w:color="auto"/>
            <w:bottom w:val="none" w:sz="0" w:space="0" w:color="auto"/>
            <w:right w:val="none" w:sz="0" w:space="0" w:color="auto"/>
          </w:divBdr>
        </w:div>
        <w:div w:id="511258222">
          <w:marLeft w:val="0"/>
          <w:marRight w:val="0"/>
          <w:marTop w:val="0"/>
          <w:marBottom w:val="101"/>
          <w:divBdr>
            <w:top w:val="none" w:sz="0" w:space="0" w:color="auto"/>
            <w:left w:val="none" w:sz="0" w:space="0" w:color="auto"/>
            <w:bottom w:val="none" w:sz="0" w:space="0" w:color="auto"/>
            <w:right w:val="none" w:sz="0" w:space="0" w:color="auto"/>
          </w:divBdr>
        </w:div>
        <w:div w:id="13703791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6363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2021-12-02T14:41:00Z</dcterms:created>
  <dcterms:modified xsi:type="dcterms:W3CDTF">2021-12-02T14:41:00Z</dcterms:modified>
</cp:coreProperties>
</file>