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color w:val="5B9BD5" w:themeColor="accent1"/>
          <w:sz w:val="20"/>
          <w:szCs w:val="20"/>
          <w14:textFill>
            <w14:solidFill>
              <w14:schemeClr w14:val="accent1"/>
            </w14:solidFill>
          </w14:textFill>
        </w:rPr>
        <w:t>D</w:t>
      </w:r>
      <w:r>
        <w:rPr>
          <w:rFonts w:hint="default" w:ascii="Verdana Regular" w:hAnsi="Verdana Regular" w:eastAsia="Times" w:cs="Verdana Regular"/>
          <w:b/>
          <w:bCs/>
          <w:color w:val="5B9BD5" w:themeColor="accent1"/>
          <w:sz w:val="20"/>
          <w:szCs w:val="20"/>
          <w14:textFill>
            <w14:solidFill>
              <w14:schemeClr w14:val="accent1"/>
            </w14:solidFill>
          </w14:textFill>
        </w:rPr>
        <w:t>ecreto</w:t>
      </w:r>
      <w:r>
        <w:rPr>
          <w:rFonts w:hint="default" w:ascii="Verdana Regular" w:hAnsi="Verdana Regular" w:eastAsia="Times" w:cs="Verdana Regular"/>
          <w:b/>
          <w:bCs/>
          <w:color w:val="5B9BD5" w:themeColor="accent1"/>
          <w:sz w:val="20"/>
          <w:szCs w:val="20"/>
          <w14:textFill>
            <w14:solidFill>
              <w14:schemeClr w14:val="accent1"/>
            </w14:solidFill>
          </w14:textFill>
        </w:rPr>
        <w:t> por el que se reforman y adicionan diversas disposiciones de la Ley General de los Derechos de Niñas, Niños y Adolescentes, en materia de pensiones alimenticias</w:t>
      </w:r>
      <w:r>
        <w:rPr>
          <w:rFonts w:hint="default" w:ascii="Verdana Regular" w:hAnsi="Verdana Regular" w:eastAsia="Times" w:cs="Verdana Regular"/>
          <w:b/>
          <w:bCs/>
          <w:color w:val="5B9BD5" w:themeColor="accent1"/>
          <w:sz w:val="20"/>
          <w:szCs w:val="20"/>
          <w14:textFill>
            <w14:solidFill>
              <w14:schemeClr w14:val="accent1"/>
            </w14:solidFill>
          </w14:textFill>
        </w:rPr>
        <w:br w:type="textWrapping"/>
      </w:r>
      <w:r>
        <w:rPr>
          <w:rFonts w:hint="default" w:ascii="Verdana Regular" w:hAnsi="Verdana Regular" w:eastAsia="Times" w:cs="Verdana Regular"/>
          <w:b/>
          <w:bCs/>
          <w:color w:val="5B9BD5" w:themeColor="accent1"/>
          <w:sz w:val="20"/>
          <w:szCs w:val="20"/>
          <w14:textFill>
            <w14:solidFill>
              <w14:schemeClr w14:val="accent1"/>
            </w14:solidFill>
          </w14:textFill>
        </w:rPr>
        <w:t>(DOF 8 de mayo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sz w:val="20"/>
          <w:szCs w:val="20"/>
        </w:rPr>
        <w:t>Al margen un sello con el Escudo Nacional, que dice: Estados Unidos Mexicanos.- Presidencia de la</w:t>
      </w:r>
      <w:r>
        <w:rPr>
          <w:rFonts w:hint="default" w:ascii="Verdana Regular" w:hAnsi="Verdana Regular" w:cs="Verdana Regular"/>
          <w:sz w:val="20"/>
          <w:szCs w:val="20"/>
        </w:rPr>
        <w:t> República.</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ANDRÉS MANUEL LÓPEZ OBRADOR</w:t>
      </w:r>
      <w:r>
        <w:rPr>
          <w:rFonts w:hint="default" w:ascii="Verdana Regular" w:hAnsi="Verdana Regular" w:eastAsia="SimSun" w:cs="Verdana Regular"/>
          <w:kern w:val="0"/>
          <w:sz w:val="20"/>
          <w:szCs w:val="20"/>
          <w:lang w:val="en-US" w:eastAsia="zh-CN" w:bidi="ar"/>
        </w:rPr>
        <w:t>, Presidente de los Estados Unidos Mexicanos, a sus habitantes sabed:</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Que el Honorable Congreso de la Unión, se ha servido dirigirme el siguiente</w:t>
      </w:r>
    </w:p>
    <w:p>
      <w:pPr>
        <w:keepNext w:val="0"/>
        <w:keepLines w:val="0"/>
        <w:widowControl/>
        <w:suppressLineNumbers w:val="0"/>
        <w:spacing w:before="101" w:beforeAutospacing="0" w:after="101" w:afterAutospacing="0"/>
        <w:ind w:left="0" w:firstLine="0"/>
        <w:jc w:val="center"/>
        <w:rPr>
          <w:rFonts w:hint="default" w:ascii="Verdana Regular" w:hAnsi="Verdana Regular" w:eastAsia="Times" w:cs="Verdana Regular"/>
          <w:b/>
          <w:bCs/>
          <w:sz w:val="20"/>
          <w:szCs w:val="20"/>
        </w:rPr>
      </w:pPr>
      <w:r>
        <w:rPr>
          <w:rFonts w:hint="default" w:ascii="Verdana Regular" w:hAnsi="Verdana Regular" w:eastAsia="Times" w:cs="Verdana Regular"/>
          <w:b/>
          <w:bCs/>
          <w:kern w:val="0"/>
          <w:sz w:val="20"/>
          <w:szCs w:val="20"/>
          <w:lang w:val="en-US" w:eastAsia="zh-CN" w:bidi="ar"/>
        </w:rPr>
        <w:t>DECRETO</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w:t>
      </w:r>
      <w:r>
        <w:rPr>
          <w:rFonts w:hint="default" w:ascii="Verdana Regular" w:hAnsi="Verdana Regular" w:eastAsia="SimSun" w:cs="Verdana Regular"/>
          <w:kern w:val="0"/>
          <w:sz w:val="20"/>
          <w:szCs w:val="20"/>
          <w:lang w:val="en-US" w:eastAsia="zh-CN" w:bidi="ar"/>
        </w:rPr>
        <w:t>EL CONGRESO GENERAL DE LOS ESTADOS UNIDOS MEXICANOS, DECRETA:</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SE REFORMAN Y ADICIONAN DIVERSAS DISPOSICIONES DE LA LEY GENERAL DE LOS DERECHOS DE NIÑAS, NIÑOS Y ADOLESCENTES, EN MATERIA DE PENSIONES ALIMENTICIAS</w:t>
      </w:r>
      <w:bookmarkStart w:id="0" w:name="_GoBack"/>
      <w:bookmarkEnd w:id="0"/>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Único. </w:t>
      </w:r>
      <w:r>
        <w:rPr>
          <w:rFonts w:hint="default" w:ascii="Verdana Regular" w:hAnsi="Verdana Regular" w:eastAsia="SimSun" w:cs="Verdana Regular"/>
          <w:kern w:val="0"/>
          <w:sz w:val="20"/>
          <w:szCs w:val="20"/>
          <w:lang w:val="en-US" w:eastAsia="zh-CN" w:bidi="ar"/>
        </w:rPr>
        <w:t>Se reforma el párrafo segundo de la fracción I del artículo 103; se adiciona una fracción VI al artículo 120, recorriéndose la subsecuente; y se adiciona una Sección Cuarta al Capítulo Tercero, denominada "Del Registro Nacional de Obligaciones Alimentarias", que comprende los artículos 135 Bis a 135 Septies de la Ley General de los Derechos de Niñas, Niños y Adolescentes, para quedar como sigue:</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103. ...</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 ...</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Para los efectos de esta fracción, los derechos alimentarios comprenden esencialmente la satisfacción de las necesidades de sustento y supervivencia y, en la especie:</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La alimentación y nutrición, vestido, habitación, recreación, atención médica y psicológica preventiva integrada a la salud, asistencia médico-hospitalaria y, en su caso, los gastos de embarazo y parto;</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b)</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Los gastos derivados de la educación y la formación para proporcionar a los menores un oficio, arte o profesión, adecuados a sus circunstancias personales, y</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Con relación a los menores con algún tipo de discapacidad o declarados en estado de interdicción, lo necesario para lograr, en lo posible, su habilitación o rehabilitación y su desarrollo;</w:t>
      </w:r>
    </w:p>
    <w:p>
      <w:pPr>
        <w:keepNext w:val="0"/>
        <w:keepLines w:val="0"/>
        <w:widowControl/>
        <w:suppressLineNumbers w:val="0"/>
        <w:spacing w:after="101" w:afterAutospacing="0"/>
        <w:ind w:left="0" w:firstLine="576"/>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 </w:t>
      </w:r>
      <w:r>
        <w:rPr>
          <w:rFonts w:hint="default" w:ascii="Verdana Regular" w:hAnsi="Verdana Regular" w:eastAsia="SimSun" w:cs="Verdana Regular"/>
          <w:kern w:val="0"/>
          <w:sz w:val="20"/>
          <w:szCs w:val="20"/>
          <w:lang w:val="en-US" w:eastAsia="zh-CN" w:bidi="ar"/>
        </w:rPr>
        <w:t>a</w:t>
      </w:r>
      <w:r>
        <w:rPr>
          <w:rFonts w:hint="default" w:ascii="Verdana Regular" w:hAnsi="Verdana Regular" w:eastAsia="SimSun" w:cs="Verdana Regular"/>
          <w:b/>
          <w:bCs/>
          <w:kern w:val="0"/>
          <w:sz w:val="20"/>
          <w:szCs w:val="20"/>
          <w:lang w:val="en-US" w:eastAsia="zh-CN" w:bidi="ar"/>
        </w:rPr>
        <w:t> XI. ...</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120. ...</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 </w:t>
      </w:r>
      <w:r>
        <w:rPr>
          <w:rFonts w:hint="default" w:ascii="Verdana Regular" w:hAnsi="Verdana Regular" w:eastAsia="SimSun" w:cs="Verdana Regular"/>
          <w:kern w:val="0"/>
          <w:sz w:val="20"/>
          <w:szCs w:val="20"/>
          <w:lang w:val="en-US" w:eastAsia="zh-CN" w:bidi="ar"/>
        </w:rPr>
        <w:t>a</w:t>
      </w:r>
      <w:r>
        <w:rPr>
          <w:rFonts w:hint="default" w:ascii="Verdana Regular" w:hAnsi="Verdana Regular" w:eastAsia="SimSun" w:cs="Verdana Regular"/>
          <w:b/>
          <w:bCs/>
          <w:kern w:val="0"/>
          <w:sz w:val="20"/>
          <w:szCs w:val="20"/>
          <w:lang w:val="en-US" w:eastAsia="zh-CN" w:bidi="ar"/>
        </w:rPr>
        <w:t> IV. ...</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Prestar apoyo y colaboración técnica y administrativa en las materias reguladas en esta Ley, a las entidades federativas, municipios y demarcaciones territoriales de la Ciudad de México;</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Tendrá a su cargo el Registro Nacional de Obligaciones Alimentarias en los términos que establece esta Ley, y</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VII.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b/>
          <w:bCs/>
          <w:kern w:val="0"/>
          <w:sz w:val="20"/>
          <w:szCs w:val="20"/>
          <w:lang w:val="en-US" w:eastAsia="zh-CN" w:bidi="ar"/>
        </w:rPr>
        <w:t>...</w:t>
      </w:r>
    </w:p>
    <w:p>
      <w:pPr>
        <w:keepNext w:val="0"/>
        <w:keepLines w:val="0"/>
        <w:widowControl/>
        <w:suppressLineNumbers w:val="0"/>
        <w:spacing w:after="101" w:afterAutospacing="0"/>
        <w:ind w:left="0" w:firstLine="0"/>
        <w:jc w:val="center"/>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Capítulo Tercero</w:t>
      </w:r>
    </w:p>
    <w:p>
      <w:pPr>
        <w:keepNext w:val="0"/>
        <w:keepLines w:val="0"/>
        <w:widowControl/>
        <w:suppressLineNumbers w:val="0"/>
        <w:spacing w:after="101" w:afterAutospacing="0"/>
        <w:ind w:left="0" w:firstLine="0"/>
        <w:jc w:val="center"/>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Del Sistema Nacional de Protección Integral</w:t>
      </w:r>
    </w:p>
    <w:p>
      <w:pPr>
        <w:keepNext w:val="0"/>
        <w:keepLines w:val="0"/>
        <w:widowControl/>
        <w:suppressLineNumbers w:val="0"/>
        <w:spacing w:after="101" w:afterAutospacing="0"/>
        <w:ind w:left="0" w:firstLine="0"/>
        <w:jc w:val="center"/>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Sección Cuarta</w:t>
      </w:r>
    </w:p>
    <w:p>
      <w:pPr>
        <w:keepNext w:val="0"/>
        <w:keepLines w:val="0"/>
        <w:widowControl/>
        <w:suppressLineNumbers w:val="0"/>
        <w:spacing w:after="101" w:afterAutospacing="0"/>
        <w:ind w:left="0" w:firstLine="0"/>
        <w:jc w:val="center"/>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Del Registro Nacional de Obligaciones Alimentarias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135 Bis. </w:t>
      </w:r>
      <w:r>
        <w:rPr>
          <w:rFonts w:hint="default" w:ascii="Verdana Regular" w:hAnsi="Verdana Regular" w:eastAsia="SimSun" w:cs="Verdana Regular"/>
          <w:kern w:val="0"/>
          <w:sz w:val="20"/>
          <w:szCs w:val="20"/>
          <w:lang w:val="en-US" w:eastAsia="zh-CN" w:bidi="ar"/>
        </w:rPr>
        <w:t>Se crea el Registro Nacional de Obligaciones Alimentarias cuyo objeto es concentrar la información de deudores y acreedores de obligaciones alimentarias, a fin de dar efectiva protección y restitución de los derechos de niñas, niños y adolescentes.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La calidad de deudor moroso se difundirá en el Registro Nacional de Obligaciones Alimentarias, el cual, será público con base en lo dispuesto en la Ley General de Protección de Datos Personales en Posesión de Sujetos Obligados.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Las Procuradurías de Protección de las entidades federativas y de la Ciudad de México tendrán acceso total a las bases de datos del Registro Nacional de Obligaciones.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Los datos recabados en este registro podrán ser utilizados para los fines estadísticos o de análisis que se consideren necesarios.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La actualización del registro deberá realizarse de forma mensual.</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135 Ter. </w:t>
      </w:r>
      <w:r>
        <w:rPr>
          <w:rFonts w:hint="default" w:ascii="Verdana Regular" w:hAnsi="Verdana Regular" w:eastAsia="SimSun" w:cs="Verdana Regular"/>
          <w:kern w:val="0"/>
          <w:sz w:val="20"/>
          <w:szCs w:val="20"/>
          <w:lang w:val="en-US" w:eastAsia="zh-CN" w:bidi="ar"/>
        </w:rPr>
        <w:t>Toda persona a quien, por su cargo, corresponda proporcionar informes sobre la capacidad económica de los deudores alimentarios, está obligada a suministrar los datos exactos que le solicite el Juez o la autoridad responsable del fuero local; de no hacerlo, será sancionada en los términos establecidos por el artículo 157 de esta Ley y responderá solidariamente para el pago de daños y perjuicios que cause al acreedor alimentario por las omisiones o informes falsos, sin perjuicio de lo dispuesto por otros ordenamientos legales.</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kern w:val="0"/>
          <w:sz w:val="20"/>
          <w:szCs w:val="20"/>
          <w:lang w:val="en-US" w:eastAsia="zh-CN" w:bidi="ar"/>
        </w:rPr>
        <w:t>El deudor alimentario deberá informar, en un máximo de quince días hábiles al acreedor alimentario, al Juez o la autoridad responsable del fuero local cualquier cambio en su empleo, la ubicación de ésta y el puesto o cargo que desempeñará, a efecto de que se actualice la pensión alimenticia decretada.</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135 Quáter. </w:t>
      </w:r>
      <w:r>
        <w:rPr>
          <w:rFonts w:hint="default" w:ascii="Verdana Regular" w:hAnsi="Verdana Regular" w:eastAsia="SimSun" w:cs="Verdana Regular"/>
          <w:kern w:val="0"/>
          <w:sz w:val="20"/>
          <w:szCs w:val="20"/>
          <w:lang w:val="en-US" w:eastAsia="zh-CN" w:bidi="ar"/>
        </w:rPr>
        <w:t>La inscripción al Registro Nacional de Obligaciones Alimentarias deberá especificar cuando menos:</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Nombre o nombres, apellidos, Clave Única de Registro de Población y clave y homoclave del Registro Federal de Contribuyentes del deudor alimentario;</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Órgano jurisdiccional que ordenó la inscripción, cuantía del cumplimiento de la obligación alimentaria y plazo de pago de los alimentos definitivos, y</w:t>
      </w:r>
    </w:p>
    <w:p>
      <w:pPr>
        <w:keepNext w:val="0"/>
        <w:keepLines w:val="0"/>
        <w:widowControl/>
        <w:suppressLineNumbers w:val="0"/>
        <w:spacing w:after="101" w:afterAutospacing="0"/>
        <w:ind w:left="1008" w:hanging="432"/>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III.</w:t>
      </w:r>
      <w:r>
        <w:rPr>
          <w:rFonts w:hint="default" w:ascii="Verdana Regular" w:hAnsi="Verdana Regular" w:eastAsia="SimSun" w:cs="Verdana Regular"/>
          <w:kern w:val="0"/>
          <w:sz w:val="20"/>
          <w:szCs w:val="20"/>
          <w:lang w:val="en-US" w:eastAsia="zh-CN" w:bidi="ar"/>
        </w:rPr>
        <w:t>    </w:t>
      </w:r>
      <w:r>
        <w:rPr>
          <w:rFonts w:hint="default" w:ascii="Verdana Regular" w:hAnsi="Verdana Regular" w:eastAsia="SimSun" w:cs="Verdana Regular"/>
          <w:kern w:val="0"/>
          <w:sz w:val="20"/>
          <w:szCs w:val="20"/>
          <w:lang w:val="en-US" w:eastAsia="zh-CN" w:bidi="ar"/>
        </w:rPr>
        <w:t>Datos del expediente o causa jurisdiccional de la cual deriva la inscripción.</w:t>
      </w:r>
    </w:p>
    <w:p>
      <w:pPr>
        <w:keepNext w:val="0"/>
        <w:keepLines w:val="0"/>
        <w:widowControl/>
        <w:suppressLineNumbers w:val="0"/>
        <w:spacing w:after="101" w:afterAutospacing="0"/>
        <w:ind w:left="0" w:firstLine="288"/>
        <w:jc w:val="both"/>
        <w:rPr>
          <w:rFonts w:hint="default" w:ascii="Verdana Regular" w:hAnsi="Verdana Regular" w:cs="Verdana Regular"/>
          <w:sz w:val="20"/>
          <w:szCs w:val="20"/>
        </w:rPr>
      </w:pPr>
      <w:r>
        <w:rPr>
          <w:rFonts w:hint="default" w:ascii="Verdana Regular" w:hAnsi="Verdana Regular" w:eastAsia="SimSun" w:cs="Verdana Regular"/>
          <w:b/>
          <w:bCs/>
          <w:kern w:val="0"/>
          <w:sz w:val="20"/>
          <w:szCs w:val="20"/>
          <w:lang w:val="en-US" w:eastAsia="zh-CN" w:bidi="ar"/>
        </w:rPr>
        <w:t>Artículo 135 Quinquies. </w:t>
      </w:r>
      <w:r>
        <w:rPr>
          <w:rFonts w:hint="default" w:ascii="Verdana Regular" w:hAnsi="Verdana Regular" w:eastAsia="SimSun" w:cs="Verdana Regular"/>
          <w:kern w:val="0"/>
          <w:sz w:val="20"/>
          <w:szCs w:val="20"/>
          <w:lang w:val="en-US" w:eastAsia="zh-CN" w:bidi="ar"/>
        </w:rPr>
        <w:t>El Registro Nacional de Obligaciones Alimentarias emitirá certificados de no inscripción, a petición de la parte interesada. Para efecto de lo anterior, se dispondrá de un sitio web en el cual se genere automáticamente el certificado de forma gratuita, mismo que contendrá como mínimo la siguiente información:</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Nombre o nombres, apellidos y Clave Única de Registro de Población del deudor alimentario;</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Órgano jurisdiccional que ordenó el registro, cuantía de la pensión y estado de cumplimiento.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135 Sexties.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autoridades de los tres órdenes de gobierno, en el ámbito de sus competencias, dispondrán lo necesario a fin de establecer como requisito la presentación del certificado de no inscripción en el Registro Nacional de Obligaciones Alimentarias. Entre los trámites y procedimientos que podrán requerir la expedición de ese certificado, se encuentran los siguientes:</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Obtención de licencias y permisos para conducir;</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Obtención de pasaporte o documento de identidad y viaje;</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participar como candidato a cargos concejiles y de elección popular;</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Para participar como aspirante a cargos de jueces, magistrados en el ámbito local o federal;</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que se realicen ante notario público relativos a la compraventa de bienes inmuebles y la constitución o transmisión de derechos reales, y</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las solicitudes de matrimonio, el juez del Registro Civil hará del conocimiento si alguno de los contrayentes se encuentra inscrito en el Registro, mencionando la situación que guardan respecto de las obligaciones que tiene.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135 Septies.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autoridades federales competentes, instrumentarán las medidas de restricción migratoria que establezcan que ninguna persona inscrita en el Registro Nacional de Obligaciones Alimentarias pueda salir del país, cuando:</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Sea deudor alimentario moroso.</w:t>
      </w:r>
    </w:p>
    <w:p>
      <w:pPr>
        <w:keepNext w:val="0"/>
        <w:keepLines w:val="0"/>
        <w:widowControl/>
        <w:suppressLineNumbers w:val="0"/>
        <w:shd w:val="clear" w:fill="FFFFFF"/>
        <w:spacing w:after="101" w:afterAutospacing="0"/>
        <w:ind w:left="100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Existan medios de prueba que permitan al Juez determinar la existencia de un riesgo importante de que la salida del país sea utilizada como un medio de evasión de pago.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impedimento para salir del país deberá ser solicitado por el acreedor o por quienes tengan su guardia y custodia ante el Juez correspondiente, quien, en su caso, deberá notificar a las autoridades migratorias respectivas para los efectos conducentes.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caso de la fracción I de este artículo; el Juez podrá autorizar la salida del país si se garantiza el pago de por lo menos la mitad del adeudo que se tenga por el pago de alimentos y un depósito que corresponda al pago adelantado desde noventa hasta trescientos sesenta y cinco días de la pensión, según las circunstancias, o bien proporcione cualquier otra garantía, que a criterio del Juez garantice el cumplimiento de la obligación.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Decreto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partir de la entrada en vigor del presente Decreto, el Sistema Nacional DIF contará con un plazo de trescientos días hábiles para la implementación del Registro Nacional de Obligaciones Alimentarias.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Congresos Locales y los Tribunales Superiores de Justicia de las Entidades Federativas y de la Ciudad de México, contarán con un plazo no mayor a ciento veinte días hábiles a partir del inicio de la creación del Registro Nacional de Obligaciones Alimentarias, para armonizar el marco normativo correspondiente, en armonía con los lineamientos que establezca el Sistema Nacional DIF, conforme a lo establecido por el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autoridad encargada del Registro Nacional, en el término de noventa días naturales, emitirá la normativa a través de la cual se establezca el formato, tiempo, modo y lugar para que las autoridades locales obligadas en el presente decreto cumplan con las obligaciones establecidas a través del presente Decreto.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Ciudad de México, a 22 de marzo de 2023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Dip.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Santiago Creel Miranda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Sen.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Alejandro Armenta Mier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Dip.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Sarai Núñez Cerón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Secretaria.- Sen.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Verónica Noemí Camino Farjat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Secretaria.- Rúbricas.</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 de mayo de 2023.-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El Secretario de Gobernación, Lic.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Adán Augusto López Hernández</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6B36B"/>
    <w:rsid w:val="7B76B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2023-05-09T08:56:00Z</dcterms:created>
  <dc:creator>morgan</dc:creator>
  <cp:lastModifiedBy>Allan Morgan Hernández</cp:lastModifiedBy>
  <dcterms:modified xsi:type="dcterms:W3CDTF">2023-05-09T08:58:27Z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