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77" w:rsidRDefault="00D81577" w:rsidP="00D81577">
      <w:pPr>
        <w:spacing w:before="100" w:beforeAutospacing="1" w:after="100" w:afterAutospacing="1" w:line="240" w:lineRule="auto"/>
        <w:jc w:val="center"/>
        <w:rPr>
          <w:rFonts w:ascii="Verdana" w:eastAsia="Times New Roman" w:hAnsi="Verdana" w:cs="Times New Roman"/>
          <w:b/>
          <w:color w:val="4F81BD" w:themeColor="accent1"/>
          <w:sz w:val="20"/>
          <w:szCs w:val="20"/>
          <w:lang w:eastAsia="es-MX"/>
        </w:rPr>
      </w:pPr>
      <w:r w:rsidRPr="00D81577">
        <w:rPr>
          <w:rFonts w:ascii="Verdana" w:eastAsia="Times New Roman" w:hAnsi="Verdana" w:cs="Times New Roman"/>
          <w:b/>
          <w:color w:val="4F81BD" w:themeColor="accent1"/>
          <w:sz w:val="20"/>
          <w:szCs w:val="20"/>
          <w:lang w:eastAsia="es-MX"/>
        </w:rPr>
        <w:t>R</w:t>
      </w:r>
      <w:r>
        <w:rPr>
          <w:rFonts w:ascii="Verdana" w:eastAsia="Times New Roman" w:hAnsi="Verdana" w:cs="Times New Roman"/>
          <w:b/>
          <w:color w:val="4F81BD" w:themeColor="accent1"/>
          <w:sz w:val="20"/>
          <w:szCs w:val="20"/>
          <w:lang w:eastAsia="es-MX"/>
        </w:rPr>
        <w:t>esolución</w:t>
      </w:r>
      <w:r w:rsidRPr="00D81577">
        <w:rPr>
          <w:rFonts w:ascii="Verdana" w:eastAsia="Times New Roman" w:hAnsi="Verdana" w:cs="Times New Roman"/>
          <w:b/>
          <w:color w:val="4F81BD" w:themeColor="accent1"/>
          <w:sz w:val="20"/>
          <w:szCs w:val="20"/>
          <w:lang w:eastAsia="es-MX"/>
        </w:rPr>
        <w:t xml:space="preserve"> por la que se declara el inicio del examen de vigencia de la cuota compensatoria impuesta a las importaciones de cobertores de fibras sintéticas de tejido tipo </w:t>
      </w:r>
      <w:proofErr w:type="spellStart"/>
      <w:r w:rsidRPr="00D81577">
        <w:rPr>
          <w:rFonts w:ascii="Verdana" w:eastAsia="Times New Roman" w:hAnsi="Verdana" w:cs="Times New Roman"/>
          <w:b/>
          <w:color w:val="4F81BD" w:themeColor="accent1"/>
          <w:sz w:val="20"/>
          <w:szCs w:val="20"/>
          <w:lang w:eastAsia="es-MX"/>
        </w:rPr>
        <w:t>raschel</w:t>
      </w:r>
      <w:proofErr w:type="spellEnd"/>
      <w:r w:rsidRPr="00D81577">
        <w:rPr>
          <w:rFonts w:ascii="Verdana" w:eastAsia="Times New Roman" w:hAnsi="Verdana" w:cs="Times New Roman"/>
          <w:b/>
          <w:color w:val="4F81BD" w:themeColor="accent1"/>
          <w:sz w:val="20"/>
          <w:szCs w:val="20"/>
          <w:lang w:eastAsia="es-MX"/>
        </w:rPr>
        <w:t>, estampados, lisos, con o sin bordado, con o sin guata intermedia, de cualquier tamaño, originarias de la República Popular China, independien</w:t>
      </w:r>
      <w:r>
        <w:rPr>
          <w:rFonts w:ascii="Verdana" w:eastAsia="Times New Roman" w:hAnsi="Verdana" w:cs="Times New Roman"/>
          <w:b/>
          <w:color w:val="4F81BD" w:themeColor="accent1"/>
          <w:sz w:val="20"/>
          <w:szCs w:val="20"/>
          <w:lang w:eastAsia="es-MX"/>
        </w:rPr>
        <w:t>temente del país de procedencia</w:t>
      </w:r>
    </w:p>
    <w:p w:rsidR="00D81577" w:rsidRPr="00D81577" w:rsidRDefault="00D81577" w:rsidP="00D81577">
      <w:pPr>
        <w:spacing w:before="100" w:beforeAutospacing="1" w:after="100" w:afterAutospacing="1" w:line="240" w:lineRule="auto"/>
        <w:jc w:val="center"/>
        <w:rPr>
          <w:rFonts w:ascii="Verdana" w:eastAsia="Times New Roman" w:hAnsi="Verdana" w:cs="Times New Roman"/>
          <w:b/>
          <w:color w:val="4F81BD" w:themeColor="accent1"/>
          <w:sz w:val="20"/>
          <w:szCs w:val="20"/>
          <w:lang w:eastAsia="es-MX"/>
        </w:rPr>
      </w:pPr>
      <w:r>
        <w:rPr>
          <w:rFonts w:ascii="Verdana" w:eastAsia="Times New Roman" w:hAnsi="Verdana" w:cs="Times New Roman"/>
          <w:b/>
          <w:color w:val="4F81BD" w:themeColor="accent1"/>
          <w:sz w:val="20"/>
          <w:szCs w:val="20"/>
          <w:lang w:eastAsia="es-MX"/>
        </w:rPr>
        <w:t>(DOF 16 de mayo de 2019)</w:t>
      </w:r>
    </w:p>
    <w:p w:rsidR="00D81577" w:rsidRPr="00D81577" w:rsidRDefault="00D81577" w:rsidP="00D81577">
      <w:pPr>
        <w:spacing w:before="100" w:beforeAutospacing="1" w:after="100" w:afterAutospacing="1" w:line="240" w:lineRule="auto"/>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Al margen un sello con el Escudo Nacional, que dice: Estados Unidos Mexicanos.- Secretaría de Economía.</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RESOLUCIÓN POR LA QUE SE DECLARA EL INICIO DEL EXAMEN DE VIGENCIA DE LA CUOTA COMPENSATORIA IMPUESTA A LAS IMPORTACIONES DE COBERTORES DE FIBRAS SINTÉTICAS DE TEJIDO TIPO RASCHEL, ESTAMPADOS, LISOS, CON O SIN BORDADO, CON O SIN GUATA INTERMEDIA, DE CUALQUIER TAMAÑO, ORIGINARIAS DE LA REPÚBLICA POPULAR CHINA, INDEPENDIENTEMENTE DEL PAÍS DE PROCEDENCIA</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Visto para resolver en la etapa de inicio el expediente administrativo E.C. 05/19 radicado en la Unidad de Prácticas Comerciales Internacionales (UPCI) de la Secretaría de Economía (la “Secretaría”), se emite la presente Resolución de conformida</w:t>
      </w:r>
      <w:bookmarkStart w:id="0" w:name="_GoBack"/>
      <w:bookmarkEnd w:id="0"/>
      <w:r w:rsidRPr="00D81577">
        <w:rPr>
          <w:rFonts w:ascii="Verdana" w:eastAsia="Times New Roman" w:hAnsi="Verdana" w:cs="Times New Roman"/>
          <w:sz w:val="20"/>
          <w:szCs w:val="20"/>
          <w:lang w:eastAsia="es-MX"/>
        </w:rPr>
        <w:t>d con los siguientes</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RESULTANDOS</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A. Resolución final de la investigación antidumping</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bookmarkStart w:id="1" w:name="N_Ref5350694"/>
      <w:r w:rsidRPr="00D81577">
        <w:rPr>
          <w:rFonts w:ascii="Verdana" w:eastAsia="Times New Roman" w:hAnsi="Verdana" w:cs="Times New Roman"/>
          <w:b/>
          <w:sz w:val="20"/>
          <w:szCs w:val="20"/>
          <w:lang w:eastAsia="es-MX"/>
        </w:rPr>
        <w:t xml:space="preserve">1. </w:t>
      </w:r>
      <w:r w:rsidRPr="00D81577">
        <w:rPr>
          <w:rFonts w:ascii="Verdana" w:eastAsia="Times New Roman" w:hAnsi="Verdana" w:cs="Times New Roman"/>
          <w:sz w:val="20"/>
          <w:szCs w:val="20"/>
          <w:lang w:eastAsia="es-MX"/>
        </w:rPr>
        <w:t xml:space="preserve">El 26 de mayo de 2014 se publicó en el Diario Oficial de la Federación (DOF) la Resolución final de la investigación antidumping sobre las importaciones de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estampados, lisos, con o sin bordado, con o sin guata intermedia, de cualquier tamaño, originarias de la República Popular China (“China”), independientemente del país de procedencia (la “Resolución Final”). Mediante dicha Resolución, la Secretaría determinó una cuota compensatoria definitiva, en los siguientes términos:</w:t>
      </w:r>
      <w:bookmarkEnd w:id="1"/>
    </w:p>
    <w:p w:rsidR="00D81577" w:rsidRPr="00D81577" w:rsidRDefault="00D81577" w:rsidP="00D81577">
      <w:pPr>
        <w:spacing w:before="100" w:beforeAutospacing="1" w:after="100" w:afterAutospacing="1" w:line="249" w:lineRule="exact"/>
        <w:ind w:left="720"/>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a.</w:t>
      </w:r>
      <w:r w:rsidRPr="00D81577">
        <w:rPr>
          <w:rFonts w:ascii="Verdana" w:eastAsia="Times New Roman" w:hAnsi="Verdana" w:cs="Times New Roman"/>
          <w:sz w:val="20"/>
          <w:szCs w:val="20"/>
          <w:lang w:eastAsia="es-MX"/>
        </w:rPr>
        <w:t xml:space="preserve"> Las importaciones de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estampados, lisos, con o sin bordado, con o sin guata intermedia, de cualquier tamaño, originarias de China, cuyo precio de importación correspondiente al valor en aduana de la mercancía en términos unitarios, sea inferior al precio de referencia de US $12.10 (doce dólares y diez centavos de los Estados Unidos de América) por kilogramo neto, estarán sujetas al pago de cuotas compensatorias, cuyo monto se calculará como la diferencia entre el precio de importación y el precio de referencia.</w:t>
      </w:r>
    </w:p>
    <w:p w:rsidR="00D81577" w:rsidRPr="00D81577" w:rsidRDefault="00D81577" w:rsidP="00D81577">
      <w:pPr>
        <w:spacing w:before="100" w:beforeAutospacing="1" w:after="100" w:afterAutospacing="1" w:line="249" w:lineRule="exact"/>
        <w:ind w:left="720"/>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b.</w:t>
      </w:r>
      <w:r w:rsidRPr="00D81577">
        <w:rPr>
          <w:rFonts w:ascii="Verdana" w:eastAsia="Times New Roman" w:hAnsi="Verdana" w:cs="Times New Roman"/>
          <w:sz w:val="20"/>
          <w:szCs w:val="20"/>
          <w:lang w:eastAsia="es-MX"/>
        </w:rPr>
        <w:t xml:space="preserve"> Las importaciones de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estampados, lisos, con o sin bordado, con o sin guata intermedia, de cualquier tamaño, originarias de China, cuyo precio de importación, correspondiente al valor en aduana de la mercancía en términos unitarios, sea igual o superior al precio de referencia de US $12.10 (doce dólares y diez centavos de los Estados Unidos de América) por kilogramo neto, no estarán sujetas al pago de cuotas compensatorias.</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lastRenderedPageBreak/>
        <w:t>B. Aviso sobre la vigencia de cuotas compensatorias</w:t>
      </w:r>
    </w:p>
    <w:p w:rsidR="00D81577" w:rsidRPr="00D81577" w:rsidRDefault="00D81577" w:rsidP="00D81577">
      <w:pPr>
        <w:spacing w:before="100" w:beforeAutospacing="1" w:after="100" w:afterAutospacing="1" w:line="24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 </w:t>
      </w:r>
      <w:r w:rsidRPr="00D81577">
        <w:rPr>
          <w:rFonts w:ascii="Verdana" w:eastAsia="Times New Roman" w:hAnsi="Verdana" w:cs="Times New Roman"/>
          <w:sz w:val="20"/>
          <w:szCs w:val="20"/>
          <w:lang w:eastAsia="es-MX"/>
        </w:rPr>
        <w:t xml:space="preserve">El 11 de septiembre de 2018 se publicó en el DOF el Aviso sobre la vigencia de cuotas compensatorias. Por este medio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los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objeto de este examen.</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C. Manifestación de interés</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3. </w:t>
      </w:r>
      <w:r w:rsidRPr="00D81577">
        <w:rPr>
          <w:rFonts w:ascii="Verdana" w:eastAsia="Times New Roman" w:hAnsi="Verdana" w:cs="Times New Roman"/>
          <w:sz w:val="20"/>
          <w:szCs w:val="20"/>
          <w:lang w:eastAsia="es-MX"/>
        </w:rPr>
        <w:t xml:space="preserve">El 29 de marzo de 2019 Grupo Textil Providencia, S.A. de C.V. (“Providencia”), manifestó su interés en que la Secretaría inicie el examen de vigencia de la cuota compensatoria definitiva impuesta a las importaciones de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estampados, lisos, con o sin bordado, con o sin guata intermedia, de cualquier tamaño originarias de China. Propuso como periodo de examen el comprendido del 1 de enero de 2018 al 31 de diciembre de 2018.</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4.</w:t>
      </w:r>
      <w:r w:rsidRPr="00D81577">
        <w:rPr>
          <w:rFonts w:ascii="Verdana" w:eastAsia="Times New Roman" w:hAnsi="Verdana" w:cs="Times New Roman"/>
          <w:sz w:val="20"/>
          <w:szCs w:val="20"/>
          <w:lang w:eastAsia="es-MX"/>
        </w:rPr>
        <w:t xml:space="preserve"> Providencia es una empresa constituida conforme a las leyes mexicanas. Entre sus actividades se encuentra la fabricación de hilados y tejidos. Para acreditar su calidad de productor nacional presentó una carta de la Cámara de la Industria Textil Puebla y Tlaxcala, del 1 de abril de 2019.</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D. Producto objeto de examen</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1. Descripción del producto</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5.</w:t>
      </w:r>
      <w:r w:rsidRPr="00D81577">
        <w:rPr>
          <w:rFonts w:ascii="Verdana" w:eastAsia="Times New Roman" w:hAnsi="Verdana" w:cs="Times New Roman"/>
          <w:sz w:val="20"/>
          <w:szCs w:val="20"/>
          <w:lang w:eastAsia="es-MX"/>
        </w:rPr>
        <w:t xml:space="preserve"> El nombre genérico de la mercancía investigada es “cobertores de fibras sintéticas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no eléctrica, estampados o no, bordado o no, con guata intermedia o no, de cualquier tamaño”. Están elaborados con fibras sintéticas, principalmente poliéster y acrílico, con confección de duvetina y ribete con costura a la orilla. El producto investigado se divide principalmente en 2 presentaciones: i) para adultos (individual, matrimonial y </w:t>
      </w:r>
      <w:proofErr w:type="spellStart"/>
      <w:r w:rsidRPr="00D81577">
        <w:rPr>
          <w:rFonts w:ascii="Verdana" w:eastAsia="Times New Roman" w:hAnsi="Verdana" w:cs="Times New Roman"/>
          <w:sz w:val="20"/>
          <w:szCs w:val="20"/>
          <w:lang w:eastAsia="es-MX"/>
        </w:rPr>
        <w:t>king</w:t>
      </w:r>
      <w:proofErr w:type="spellEnd"/>
      <w:r w:rsidRPr="00D81577">
        <w:rPr>
          <w:rFonts w:ascii="Verdana" w:eastAsia="Times New Roman" w:hAnsi="Verdana" w:cs="Times New Roman"/>
          <w:sz w:val="20"/>
          <w:szCs w:val="20"/>
          <w:lang w:eastAsia="es-MX"/>
        </w:rPr>
        <w:t xml:space="preserve"> </w:t>
      </w:r>
      <w:proofErr w:type="spellStart"/>
      <w:r w:rsidRPr="00D81577">
        <w:rPr>
          <w:rFonts w:ascii="Verdana" w:eastAsia="Times New Roman" w:hAnsi="Verdana" w:cs="Times New Roman"/>
          <w:sz w:val="20"/>
          <w:szCs w:val="20"/>
          <w:lang w:eastAsia="es-MX"/>
        </w:rPr>
        <w:t>size</w:t>
      </w:r>
      <w:proofErr w:type="spellEnd"/>
      <w:r w:rsidRPr="00D81577">
        <w:rPr>
          <w:rFonts w:ascii="Verdana" w:eastAsia="Times New Roman" w:hAnsi="Verdana" w:cs="Times New Roman"/>
          <w:sz w:val="20"/>
          <w:szCs w:val="20"/>
          <w:lang w:eastAsia="es-MX"/>
        </w:rPr>
        <w:t>), y ii) para bebés (cunero, chicos, bolsa de dormir y cobertor de calle).</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6. </w:t>
      </w:r>
      <w:r w:rsidRPr="00D81577">
        <w:rPr>
          <w:rFonts w:ascii="Verdana" w:eastAsia="Times New Roman" w:hAnsi="Verdana" w:cs="Times New Roman"/>
          <w:sz w:val="20"/>
          <w:szCs w:val="20"/>
          <w:lang w:eastAsia="es-MX"/>
        </w:rPr>
        <w:t xml:space="preserve">Con base en lo señalado en los puntos 61 y 62 de la Resolución Final, la mercancía investigada está hecha a base de fibras sintéticas (acrílico o poliéster), en máquinas cuyo tejido se obtiene entrelazando hilos para obtener una malla de punto por urdimbre que en su estructura tiene un hilo flotante que se corta para dar un acabado de vellosidad suave al tacto (sensación afelpada). Cabe señalar que los tejidos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incluyen no sólo a aquellos fabricados en máquinas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sino también a aquellos fabricados en máquinas diferentes a la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pero que adoptan características propias de dicho tejido (por ejemplo: los tejidos </w:t>
      </w:r>
      <w:proofErr w:type="spellStart"/>
      <w:r w:rsidRPr="00D81577">
        <w:rPr>
          <w:rFonts w:ascii="Verdana" w:eastAsia="Times New Roman" w:hAnsi="Verdana" w:cs="Times New Roman"/>
          <w:sz w:val="20"/>
          <w:szCs w:val="20"/>
          <w:lang w:eastAsia="es-MX"/>
        </w:rPr>
        <w:t>tricot</w:t>
      </w:r>
      <w:proofErr w:type="spellEnd"/>
      <w:r w:rsidRPr="00D81577">
        <w:rPr>
          <w:rFonts w:ascii="Verdana" w:eastAsia="Times New Roman" w:hAnsi="Verdana" w:cs="Times New Roman"/>
          <w:sz w:val="20"/>
          <w:szCs w:val="20"/>
          <w:lang w:eastAsia="es-MX"/>
        </w:rPr>
        <w:t xml:space="preserve">, milanés, sherpa y </w:t>
      </w:r>
      <w:proofErr w:type="spellStart"/>
      <w:r w:rsidRPr="00D81577">
        <w:rPr>
          <w:rFonts w:ascii="Verdana" w:eastAsia="Times New Roman" w:hAnsi="Verdana" w:cs="Times New Roman"/>
          <w:sz w:val="20"/>
          <w:szCs w:val="20"/>
          <w:lang w:eastAsia="es-MX"/>
        </w:rPr>
        <w:t>multibarra</w:t>
      </w:r>
      <w:proofErr w:type="spellEnd"/>
      <w:r w:rsidRPr="00D81577">
        <w:rPr>
          <w:rFonts w:ascii="Verdana" w:eastAsia="Times New Roman" w:hAnsi="Verdana" w:cs="Times New Roman"/>
          <w:sz w:val="20"/>
          <w:szCs w:val="20"/>
          <w:lang w:eastAsia="es-MX"/>
        </w:rPr>
        <w:t>, entre otros).</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2. Tratamiento arancelario</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7. </w:t>
      </w:r>
      <w:r w:rsidRPr="00D81577">
        <w:rPr>
          <w:rFonts w:ascii="Verdana" w:eastAsia="Times New Roman" w:hAnsi="Verdana" w:cs="Times New Roman"/>
          <w:sz w:val="20"/>
          <w:szCs w:val="20"/>
          <w:lang w:eastAsia="es-MX"/>
        </w:rPr>
        <w:t xml:space="preserve">Los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ingresan por las fracciones arancelarias 6301.40.01 y 9404.90.99 de la Tarifa de la Ley de los Impuestos Generales de Importación y de Exportación (TIGIE), cuya descripción es la siguiente:</w:t>
      </w:r>
    </w:p>
    <w:tbl>
      <w:tblPr>
        <w:tblW w:w="8715" w:type="dxa"/>
        <w:tblInd w:w="144" w:type="dxa"/>
        <w:tblLayout w:type="fixed"/>
        <w:tblCellMar>
          <w:left w:w="72" w:type="dxa"/>
          <w:right w:w="72" w:type="dxa"/>
        </w:tblCellMar>
        <w:tblLook w:val="04A0" w:firstRow="1" w:lastRow="0" w:firstColumn="1" w:lastColumn="0" w:noHBand="0" w:noVBand="1"/>
      </w:tblPr>
      <w:tblGrid>
        <w:gridCol w:w="1355"/>
        <w:gridCol w:w="7360"/>
      </w:tblGrid>
      <w:tr w:rsidR="00D81577" w:rsidRPr="00D81577" w:rsidTr="00D81577">
        <w:trPr>
          <w:trHeight w:val="144"/>
        </w:trPr>
        <w:tc>
          <w:tcPr>
            <w:tcW w:w="135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D81577" w:rsidRPr="00D81577" w:rsidRDefault="00D81577" w:rsidP="00D81577">
            <w:pPr>
              <w:spacing w:before="100" w:beforeAutospacing="1" w:after="100" w:afterAutospacing="1" w:line="144" w:lineRule="atLeast"/>
              <w:jc w:val="center"/>
              <w:rPr>
                <w:rFonts w:ascii="Verdana" w:eastAsia="Times New Roman" w:hAnsi="Verdana" w:cs="Times New Roman"/>
                <w:sz w:val="20"/>
                <w:szCs w:val="20"/>
                <w:lang w:eastAsia="es-MX"/>
              </w:rPr>
            </w:pPr>
            <w:r w:rsidRPr="00D81577">
              <w:rPr>
                <w:rFonts w:ascii="Verdana" w:eastAsia="Times New Roman" w:hAnsi="Verdana" w:cs="Times New Roman"/>
                <w:b/>
                <w:sz w:val="20"/>
                <w:szCs w:val="20"/>
                <w:lang w:val="es-ES_tradnl" w:eastAsia="es-MX"/>
              </w:rPr>
              <w:lastRenderedPageBreak/>
              <w:t>Codificación arancelaria</w:t>
            </w:r>
          </w:p>
        </w:tc>
        <w:tc>
          <w:tcPr>
            <w:tcW w:w="73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577" w:rsidRPr="00D81577" w:rsidRDefault="00D81577" w:rsidP="00D81577">
            <w:pPr>
              <w:spacing w:before="100" w:beforeAutospacing="1" w:after="100" w:afterAutospacing="1" w:line="144" w:lineRule="atLeast"/>
              <w:jc w:val="center"/>
              <w:rPr>
                <w:rFonts w:ascii="Verdana" w:eastAsia="Times New Roman" w:hAnsi="Verdana" w:cs="Times New Roman"/>
                <w:sz w:val="20"/>
                <w:szCs w:val="20"/>
                <w:lang w:eastAsia="es-MX"/>
              </w:rPr>
            </w:pPr>
            <w:r w:rsidRPr="00D81577">
              <w:rPr>
                <w:rFonts w:ascii="Verdana" w:eastAsia="Times New Roman" w:hAnsi="Verdana" w:cs="Times New Roman"/>
                <w:b/>
                <w:sz w:val="20"/>
                <w:szCs w:val="20"/>
                <w:lang w:val="es-ES_tradnl" w:eastAsia="es-MX"/>
              </w:rPr>
              <w:t>Descripción</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63</w:t>
            </w:r>
          </w:p>
        </w:tc>
        <w:tc>
          <w:tcPr>
            <w:tcW w:w="7357"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Los demás artículos textiles confeccionados; juegos; prendería y trapos.</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6301</w:t>
            </w:r>
          </w:p>
        </w:tc>
        <w:tc>
          <w:tcPr>
            <w:tcW w:w="7357"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Mantas.</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6301.40</w:t>
            </w:r>
          </w:p>
        </w:tc>
        <w:tc>
          <w:tcPr>
            <w:tcW w:w="7357"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 Mantas de fibras sintéticas (excepto las eléctricas).</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shd w:val="clear" w:color="auto" w:fill="C0C0C0"/>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6301.40.01</w:t>
            </w:r>
          </w:p>
        </w:tc>
        <w:tc>
          <w:tcPr>
            <w:tcW w:w="7357" w:type="dxa"/>
            <w:tcBorders>
              <w:top w:val="single" w:sz="6" w:space="0" w:color="auto"/>
              <w:left w:val="single" w:sz="6" w:space="0" w:color="auto"/>
              <w:bottom w:val="single" w:sz="6" w:space="0" w:color="auto"/>
              <w:right w:val="single" w:sz="6" w:space="0" w:color="auto"/>
            </w:tcBorders>
            <w:shd w:val="clear" w:color="auto" w:fill="C0C0C0"/>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Mantas de fibras sintéticas (excepto las eléctricas).</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94</w:t>
            </w:r>
          </w:p>
        </w:tc>
        <w:tc>
          <w:tcPr>
            <w:tcW w:w="7357"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 xml:space="preserve">Muebles; mobiliario </w:t>
            </w:r>
            <w:proofErr w:type="spellStart"/>
            <w:r w:rsidRPr="00D81577">
              <w:rPr>
                <w:rFonts w:ascii="Verdana" w:eastAsia="Times New Roman" w:hAnsi="Verdana" w:cs="Times New Roman"/>
                <w:sz w:val="20"/>
                <w:szCs w:val="20"/>
                <w:lang w:val="es-ES_tradnl" w:eastAsia="es-MX"/>
              </w:rPr>
              <w:t>medicoquirúrgico</w:t>
            </w:r>
            <w:proofErr w:type="spellEnd"/>
            <w:r w:rsidRPr="00D81577">
              <w:rPr>
                <w:rFonts w:ascii="Verdana" w:eastAsia="Times New Roman" w:hAnsi="Verdana" w:cs="Times New Roman"/>
                <w:sz w:val="20"/>
                <w:szCs w:val="20"/>
                <w:lang w:val="es-ES_tradnl" w:eastAsia="es-MX"/>
              </w:rPr>
              <w:t>; artículos de cama y similares; aparatos de alumbrado no expresados ni comprendidos en otra parte; anuncios, letreros y placas indicadoras luminosos y artículos similares; construcciones prefabricadas</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9404</w:t>
            </w:r>
          </w:p>
        </w:tc>
        <w:tc>
          <w:tcPr>
            <w:tcW w:w="7357"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 xml:space="preserve">Somieres; artículos de cama y artículos similares (por ejemplo: colchones, cubrepiés, edredones, cojines, </w:t>
            </w:r>
            <w:proofErr w:type="spellStart"/>
            <w:r w:rsidRPr="00D81577">
              <w:rPr>
                <w:rFonts w:ascii="Verdana" w:eastAsia="Times New Roman" w:hAnsi="Verdana" w:cs="Times New Roman"/>
                <w:sz w:val="20"/>
                <w:szCs w:val="20"/>
                <w:lang w:val="es-ES_tradnl" w:eastAsia="es-MX"/>
              </w:rPr>
              <w:t>pufes</w:t>
            </w:r>
            <w:proofErr w:type="spellEnd"/>
            <w:r w:rsidRPr="00D81577">
              <w:rPr>
                <w:rFonts w:ascii="Verdana" w:eastAsia="Times New Roman" w:hAnsi="Verdana" w:cs="Times New Roman"/>
                <w:sz w:val="20"/>
                <w:szCs w:val="20"/>
                <w:lang w:val="es-ES_tradnl" w:eastAsia="es-MX"/>
              </w:rPr>
              <w:t>, almohadas), bien con muelles (resortes), bien rellenos o guarnecidos interiormente con cualquier materia, incluidos los de caucho o plástico celulares, recubiertos o no.</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9404.90</w:t>
            </w:r>
          </w:p>
        </w:tc>
        <w:tc>
          <w:tcPr>
            <w:tcW w:w="7357" w:type="dxa"/>
            <w:tcBorders>
              <w:top w:val="single" w:sz="6" w:space="0" w:color="auto"/>
              <w:left w:val="single" w:sz="6" w:space="0" w:color="auto"/>
              <w:bottom w:val="single" w:sz="6" w:space="0" w:color="auto"/>
              <w:right w:val="single" w:sz="6" w:space="0" w:color="auto"/>
            </w:tcBorders>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 Los demás.</w:t>
            </w:r>
          </w:p>
        </w:tc>
      </w:tr>
      <w:tr w:rsidR="00D81577" w:rsidRPr="00D81577" w:rsidTr="00D81577">
        <w:trPr>
          <w:trHeight w:val="20"/>
        </w:trPr>
        <w:tc>
          <w:tcPr>
            <w:tcW w:w="1355" w:type="dxa"/>
            <w:tcBorders>
              <w:top w:val="single" w:sz="6" w:space="0" w:color="auto"/>
              <w:left w:val="single" w:sz="6" w:space="0" w:color="auto"/>
              <w:bottom w:val="single" w:sz="6" w:space="0" w:color="auto"/>
              <w:right w:val="single" w:sz="6" w:space="0" w:color="auto"/>
            </w:tcBorders>
            <w:shd w:val="clear" w:color="auto" w:fill="C0C0C0"/>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9404.90.99</w:t>
            </w:r>
          </w:p>
        </w:tc>
        <w:tc>
          <w:tcPr>
            <w:tcW w:w="7357" w:type="dxa"/>
            <w:tcBorders>
              <w:top w:val="single" w:sz="6" w:space="0" w:color="auto"/>
              <w:left w:val="single" w:sz="6" w:space="0" w:color="auto"/>
              <w:bottom w:val="single" w:sz="6" w:space="0" w:color="auto"/>
              <w:right w:val="single" w:sz="6" w:space="0" w:color="auto"/>
            </w:tcBorders>
            <w:shd w:val="clear" w:color="auto" w:fill="C0C0C0"/>
            <w:hideMark/>
          </w:tcPr>
          <w:p w:rsidR="00D81577" w:rsidRPr="00D81577" w:rsidRDefault="00D81577" w:rsidP="00D81577">
            <w:pPr>
              <w:spacing w:before="100" w:beforeAutospacing="1" w:after="100" w:afterAutospacing="1" w:line="20" w:lineRule="atLeas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Los demás.</w:t>
            </w:r>
          </w:p>
        </w:tc>
      </w:tr>
    </w:tbl>
    <w:p w:rsidR="00D81577" w:rsidRPr="00D81577" w:rsidRDefault="00D81577" w:rsidP="00D81577">
      <w:pPr>
        <w:spacing w:before="40"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Fuente: Sistema de Información Arancelaria Vía Internet (SIAVI).</w:t>
      </w:r>
    </w:p>
    <w:p w:rsidR="00D81577" w:rsidRPr="00D81577" w:rsidRDefault="00D81577" w:rsidP="00D81577">
      <w:pPr>
        <w:spacing w:before="100" w:beforeAutospacing="1" w:after="100" w:afterAutospacing="1" w:line="240"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8.</w:t>
      </w:r>
      <w:r w:rsidRPr="00D81577">
        <w:rPr>
          <w:rFonts w:ascii="Verdana" w:eastAsia="Times New Roman" w:hAnsi="Verdana" w:cs="Times New Roman"/>
          <w:sz w:val="20"/>
          <w:szCs w:val="20"/>
          <w:lang w:eastAsia="es-MX"/>
        </w:rPr>
        <w:t xml:space="preserve"> Con base en la información del SIAVI, la Secretaría observó que las importaciones de los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que ingresan por la fracción 6301.40.01 pagan un arancel general de 20% y de 15% cuando ingresan por la fracción 9404.90.99 de la TIGIE, a excepción de las importaciones originarias de países con los que México ha celebrado tratados de libre comercio, las cuales están exentas; sin embargo, de acuerdo al Tratado Integral y Progresista de Asociación Transpacífico (TPP), las mercancías originarias de Australia, Canadá, Japón, Nueva Zelanda y Singapur tienen un arancel </w:t>
      </w:r>
      <w:r w:rsidRPr="00D81577">
        <w:rPr>
          <w:rFonts w:ascii="Verdana" w:eastAsia="Times New Roman" w:hAnsi="Verdana" w:cs="Times New Roman"/>
          <w:i/>
          <w:sz w:val="20"/>
          <w:szCs w:val="20"/>
          <w:lang w:eastAsia="es-MX"/>
        </w:rPr>
        <w:t xml:space="preserve">ad </w:t>
      </w:r>
      <w:proofErr w:type="spellStart"/>
      <w:r w:rsidRPr="00D81577">
        <w:rPr>
          <w:rFonts w:ascii="Verdana" w:eastAsia="Times New Roman" w:hAnsi="Verdana" w:cs="Times New Roman"/>
          <w:i/>
          <w:sz w:val="20"/>
          <w:szCs w:val="20"/>
          <w:lang w:eastAsia="es-MX"/>
        </w:rPr>
        <w:t>valorem</w:t>
      </w:r>
      <w:proofErr w:type="spellEnd"/>
      <w:r w:rsidRPr="00D81577">
        <w:rPr>
          <w:rFonts w:ascii="Verdana" w:eastAsia="Times New Roman" w:hAnsi="Verdana" w:cs="Times New Roman"/>
          <w:sz w:val="20"/>
          <w:szCs w:val="20"/>
          <w:lang w:eastAsia="es-MX"/>
        </w:rPr>
        <w:t xml:space="preserve"> de 26.2%, mientras que las originarias de Vietnam están sujetas a un arancel </w:t>
      </w:r>
      <w:r w:rsidRPr="00D81577">
        <w:rPr>
          <w:rFonts w:ascii="Verdana" w:eastAsia="Times New Roman" w:hAnsi="Verdana" w:cs="Times New Roman"/>
          <w:i/>
          <w:sz w:val="20"/>
          <w:szCs w:val="20"/>
          <w:lang w:eastAsia="es-MX"/>
        </w:rPr>
        <w:t xml:space="preserve">ad </w:t>
      </w:r>
      <w:proofErr w:type="spellStart"/>
      <w:r w:rsidRPr="00D81577">
        <w:rPr>
          <w:rFonts w:ascii="Verdana" w:eastAsia="Times New Roman" w:hAnsi="Verdana" w:cs="Times New Roman"/>
          <w:i/>
          <w:sz w:val="20"/>
          <w:szCs w:val="20"/>
          <w:lang w:eastAsia="es-MX"/>
        </w:rPr>
        <w:t>valorem</w:t>
      </w:r>
      <w:proofErr w:type="spellEnd"/>
      <w:r w:rsidRPr="00D81577">
        <w:rPr>
          <w:rFonts w:ascii="Verdana" w:eastAsia="Times New Roman" w:hAnsi="Verdana" w:cs="Times New Roman"/>
          <w:sz w:val="20"/>
          <w:szCs w:val="20"/>
          <w:lang w:eastAsia="es-MX"/>
        </w:rPr>
        <w:t xml:space="preserve"> del 28.1%. La unidad de medida comercial y para la TIGIE es la pieza.</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3. Proceso productivo</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9.</w:t>
      </w:r>
      <w:r w:rsidRPr="00D81577">
        <w:rPr>
          <w:rFonts w:ascii="Verdana" w:eastAsia="Times New Roman" w:hAnsi="Verdana" w:cs="Times New Roman"/>
          <w:sz w:val="20"/>
          <w:szCs w:val="20"/>
          <w:lang w:eastAsia="es-MX"/>
        </w:rPr>
        <w:t xml:space="preserve"> El proceso de producción de los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consiste en el urdido y en enrollar hilos de poliéster en forma vertical, para posteriormente continuar con el tejido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pasando por el estampado y el teñido, además de la confección y el empaque. Los insumos utilizados para la elaboración del producto investigado son: fibra acrílica, poliéster, colorantes, duvetina, bies, ribete, bolsas de </w:t>
      </w:r>
      <w:proofErr w:type="spellStart"/>
      <w:r w:rsidRPr="00D81577">
        <w:rPr>
          <w:rFonts w:ascii="Verdana" w:eastAsia="Times New Roman" w:hAnsi="Verdana" w:cs="Times New Roman"/>
          <w:sz w:val="20"/>
          <w:szCs w:val="20"/>
          <w:lang w:eastAsia="es-MX"/>
        </w:rPr>
        <w:t>policloruro</w:t>
      </w:r>
      <w:proofErr w:type="spellEnd"/>
      <w:r w:rsidRPr="00D81577">
        <w:rPr>
          <w:rFonts w:ascii="Verdana" w:eastAsia="Times New Roman" w:hAnsi="Verdana" w:cs="Times New Roman"/>
          <w:sz w:val="20"/>
          <w:szCs w:val="20"/>
          <w:lang w:eastAsia="es-MX"/>
        </w:rPr>
        <w:t xml:space="preserve"> de vinilo con y sin estampado, cajillas, caja corrugada, etiqueta de tela, hilo de costura, cromos, tela borrega microfibra y, en su caso, guata.</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4. Normas</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10. </w:t>
      </w:r>
      <w:r w:rsidRPr="00D81577">
        <w:rPr>
          <w:rFonts w:ascii="Verdana" w:eastAsia="Times New Roman" w:hAnsi="Verdana" w:cs="Times New Roman"/>
          <w:sz w:val="20"/>
          <w:szCs w:val="20"/>
          <w:lang w:eastAsia="es-MX"/>
        </w:rPr>
        <w:t>Se identificaron como normas aplicables al producto objeto de examen, las siguientes: i) NOM-004-SCFI-2006, “Información comercial-Etiquetado de productos textiles, prendas de vestir, sus accesorios y ropa de casa”, y ii) NOM-008-SCFI-2002, “Sistema General de Unidades de Medida”.</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5. Usos y funciones</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lastRenderedPageBreak/>
        <w:t xml:space="preserve">11. </w:t>
      </w:r>
      <w:r w:rsidRPr="00D81577">
        <w:rPr>
          <w:rFonts w:ascii="Verdana" w:eastAsia="Times New Roman" w:hAnsi="Verdana" w:cs="Times New Roman"/>
          <w:sz w:val="20"/>
          <w:szCs w:val="20"/>
          <w:lang w:eastAsia="es-MX"/>
        </w:rPr>
        <w:t xml:space="preserve">Los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xml:space="preserve"> se utilizan para resguardar y proteger del frío, por lo que su función es abrigar a las personas. No obstante, también se utilizan para cubrir camas.</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E. Posibles partes interesadas</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12. </w:t>
      </w:r>
      <w:r w:rsidRPr="00D81577">
        <w:rPr>
          <w:rFonts w:ascii="Verdana" w:eastAsia="Times New Roman" w:hAnsi="Verdana" w:cs="Times New Roman"/>
          <w:sz w:val="20"/>
          <w:szCs w:val="20"/>
          <w:lang w:eastAsia="es-MX"/>
        </w:rPr>
        <w:t>Las partes de que la Secretaría tiene conocimiento y que podrían tener interés en comparecer al presente procedimiento, son las siguientes:</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1. Productores nacionales</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Apolo Textil, S.A. de C.V.</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Resurrección Oriente No. 16</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Parque Industrial Resurrección</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72228, Puebla, Puebla</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Grupo Textil Providencia, S.A. de C.V.</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Bradley No. 5</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Col. Anzures</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11590, Cuidad de México</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2. Importadores</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proofErr w:type="spellStart"/>
      <w:r w:rsidRPr="00D81577">
        <w:rPr>
          <w:rFonts w:ascii="Verdana" w:eastAsia="Times New Roman" w:hAnsi="Verdana" w:cs="Times New Roman"/>
          <w:sz w:val="20"/>
          <w:szCs w:val="20"/>
          <w:lang w:eastAsia="es-MX"/>
        </w:rPr>
        <w:t>Beltronica</w:t>
      </w:r>
      <w:proofErr w:type="spellEnd"/>
      <w:r w:rsidRPr="00D81577">
        <w:rPr>
          <w:rFonts w:ascii="Verdana" w:eastAsia="Times New Roman" w:hAnsi="Verdana" w:cs="Times New Roman"/>
          <w:sz w:val="20"/>
          <w:szCs w:val="20"/>
          <w:lang w:eastAsia="es-MX"/>
        </w:rPr>
        <w:t>, S.A. de C.V.</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 xml:space="preserve">Calle Germán </w:t>
      </w:r>
      <w:proofErr w:type="spellStart"/>
      <w:r w:rsidRPr="00D81577">
        <w:rPr>
          <w:rFonts w:ascii="Verdana" w:eastAsia="Times New Roman" w:hAnsi="Verdana" w:cs="Times New Roman"/>
          <w:sz w:val="20"/>
          <w:szCs w:val="20"/>
          <w:lang w:eastAsia="es-MX"/>
        </w:rPr>
        <w:t>Gedovius</w:t>
      </w:r>
      <w:proofErr w:type="spellEnd"/>
      <w:r w:rsidRPr="00D81577">
        <w:rPr>
          <w:rFonts w:ascii="Verdana" w:eastAsia="Times New Roman" w:hAnsi="Verdana" w:cs="Times New Roman"/>
          <w:sz w:val="20"/>
          <w:szCs w:val="20"/>
          <w:lang w:eastAsia="es-MX"/>
        </w:rPr>
        <w:t xml:space="preserve"> No. 10489, despacho 201</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Condominio del Río</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Zona Urbana Río Tijuana</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22010, Tijuana, Baja California</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Colchas México, S.A. de C.V.</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Carretera Cuautitlán Teoloyucan</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Km 35.3, Manzana 823, Lote 9</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 xml:space="preserve">Col. San Lorenzo Río </w:t>
      </w:r>
      <w:proofErr w:type="spellStart"/>
      <w:r w:rsidRPr="00D81577">
        <w:rPr>
          <w:rFonts w:ascii="Verdana" w:eastAsia="Times New Roman" w:hAnsi="Verdana" w:cs="Times New Roman"/>
          <w:sz w:val="20"/>
          <w:szCs w:val="20"/>
          <w:lang w:eastAsia="es-MX"/>
        </w:rPr>
        <w:t>Tenco</w:t>
      </w:r>
      <w:proofErr w:type="spellEnd"/>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54713, Cuautitlán Izcalli, Estado de México</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lastRenderedPageBreak/>
        <w:t>Comercializadora México Americana, S. de R.L. de C.V.</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 xml:space="preserve">Camino a </w:t>
      </w:r>
      <w:proofErr w:type="spellStart"/>
      <w:r w:rsidRPr="00D81577">
        <w:rPr>
          <w:rFonts w:ascii="Verdana" w:eastAsia="Times New Roman" w:hAnsi="Verdana" w:cs="Times New Roman"/>
          <w:sz w:val="20"/>
          <w:szCs w:val="20"/>
          <w:lang w:eastAsia="es-MX"/>
        </w:rPr>
        <w:t>Nextengo</w:t>
      </w:r>
      <w:proofErr w:type="spellEnd"/>
      <w:r w:rsidRPr="00D81577">
        <w:rPr>
          <w:rFonts w:ascii="Verdana" w:eastAsia="Times New Roman" w:hAnsi="Verdana" w:cs="Times New Roman"/>
          <w:sz w:val="20"/>
          <w:szCs w:val="20"/>
          <w:lang w:eastAsia="es-MX"/>
        </w:rPr>
        <w:t xml:space="preserve"> No. 78</w:t>
      </w:r>
    </w:p>
    <w:p w:rsidR="00D81577" w:rsidRPr="00D81577" w:rsidRDefault="00D81577" w:rsidP="00D81577">
      <w:pPr>
        <w:spacing w:before="100" w:beforeAutospacing="1" w:after="20"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Santa Cruz Acayucan</w:t>
      </w:r>
    </w:p>
    <w:p w:rsidR="00D81577" w:rsidRPr="00D81577" w:rsidRDefault="00D81577" w:rsidP="00D81577">
      <w:pPr>
        <w:spacing w:before="100" w:beforeAutospacing="1" w:after="100" w:afterAutospacing="1" w:line="257"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02770, Ciudad de México</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proofErr w:type="spellStart"/>
      <w:r w:rsidRPr="00D81577">
        <w:rPr>
          <w:rFonts w:ascii="Verdana" w:eastAsia="Times New Roman" w:hAnsi="Verdana" w:cs="Times New Roman"/>
          <w:sz w:val="20"/>
          <w:szCs w:val="20"/>
          <w:lang w:eastAsia="es-MX"/>
        </w:rPr>
        <w:t>Suburbia</w:t>
      </w:r>
      <w:proofErr w:type="spellEnd"/>
      <w:r w:rsidRPr="00D81577">
        <w:rPr>
          <w:rFonts w:ascii="Verdana" w:eastAsia="Times New Roman" w:hAnsi="Verdana" w:cs="Times New Roman"/>
          <w:sz w:val="20"/>
          <w:szCs w:val="20"/>
          <w:lang w:eastAsia="es-MX"/>
        </w:rPr>
        <w:t>, S. de R.L. de C.V.</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 xml:space="preserve">Mario </w:t>
      </w:r>
      <w:proofErr w:type="spellStart"/>
      <w:r w:rsidRPr="00D81577">
        <w:rPr>
          <w:rFonts w:ascii="Verdana" w:eastAsia="Times New Roman" w:hAnsi="Verdana" w:cs="Times New Roman"/>
          <w:sz w:val="20"/>
          <w:szCs w:val="20"/>
          <w:lang w:eastAsia="es-MX"/>
        </w:rPr>
        <w:t>Pani</w:t>
      </w:r>
      <w:proofErr w:type="spellEnd"/>
      <w:r w:rsidRPr="00D81577">
        <w:rPr>
          <w:rFonts w:ascii="Verdana" w:eastAsia="Times New Roman" w:hAnsi="Verdana" w:cs="Times New Roman"/>
          <w:sz w:val="20"/>
          <w:szCs w:val="20"/>
          <w:lang w:eastAsia="es-MX"/>
        </w:rPr>
        <w:t xml:space="preserve"> No. 200</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Col. Santa Fe Cuajimalpa</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05348, Ciudad de México</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Zara Home México, S.A.</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Poniente 146 No. 730</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Col. Industrial Vallejo</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02300, Azcapotzalco, Ciudad de México</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val="en-US" w:eastAsia="es-MX"/>
        </w:rPr>
        <w:t xml:space="preserve">3. </w:t>
      </w:r>
      <w:proofErr w:type="spellStart"/>
      <w:r w:rsidRPr="00D81577">
        <w:rPr>
          <w:rFonts w:ascii="Verdana" w:eastAsia="Times New Roman" w:hAnsi="Verdana" w:cs="Times New Roman"/>
          <w:b/>
          <w:sz w:val="20"/>
          <w:szCs w:val="20"/>
          <w:lang w:val="en-US" w:eastAsia="es-MX"/>
        </w:rPr>
        <w:t>Exportadores</w:t>
      </w:r>
      <w:proofErr w:type="spellEnd"/>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proofErr w:type="gramStart"/>
      <w:r w:rsidRPr="00D81577">
        <w:rPr>
          <w:rFonts w:ascii="Verdana" w:eastAsia="Times New Roman" w:hAnsi="Verdana" w:cs="Times New Roman"/>
          <w:sz w:val="20"/>
          <w:szCs w:val="20"/>
          <w:lang w:val="en-US" w:eastAsia="es-MX"/>
        </w:rPr>
        <w:t>Anhui Technology Import and Export Co., Ltd.</w:t>
      </w:r>
      <w:proofErr w:type="gramEnd"/>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 xml:space="preserve">459 </w:t>
      </w:r>
      <w:proofErr w:type="spellStart"/>
      <w:r w:rsidRPr="00D81577">
        <w:rPr>
          <w:rFonts w:ascii="Verdana" w:eastAsia="Times New Roman" w:hAnsi="Verdana" w:cs="Times New Roman"/>
          <w:sz w:val="20"/>
          <w:szCs w:val="20"/>
          <w:lang w:val="en-US" w:eastAsia="es-MX"/>
        </w:rPr>
        <w:t>Changjiang</w:t>
      </w:r>
      <w:proofErr w:type="spellEnd"/>
      <w:r w:rsidRPr="00D81577">
        <w:rPr>
          <w:rFonts w:ascii="Verdana" w:eastAsia="Times New Roman" w:hAnsi="Verdana" w:cs="Times New Roman"/>
          <w:sz w:val="20"/>
          <w:szCs w:val="20"/>
          <w:lang w:val="en-US" w:eastAsia="es-MX"/>
        </w:rPr>
        <w:t xml:space="preserve"> West Road</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 xml:space="preserve">Zip Code 230031, </w:t>
      </w:r>
      <w:proofErr w:type="spellStart"/>
      <w:r w:rsidRPr="00D81577">
        <w:rPr>
          <w:rFonts w:ascii="Verdana" w:eastAsia="Times New Roman" w:hAnsi="Verdana" w:cs="Times New Roman"/>
          <w:sz w:val="20"/>
          <w:szCs w:val="20"/>
          <w:lang w:val="en-US" w:eastAsia="es-MX"/>
        </w:rPr>
        <w:t>Shushan</w:t>
      </w:r>
      <w:proofErr w:type="spellEnd"/>
      <w:r w:rsidRPr="00D81577">
        <w:rPr>
          <w:rFonts w:ascii="Verdana" w:eastAsia="Times New Roman" w:hAnsi="Verdana" w:cs="Times New Roman"/>
          <w:sz w:val="20"/>
          <w:szCs w:val="20"/>
          <w:lang w:val="en-US" w:eastAsia="es-MX"/>
        </w:rPr>
        <w:t xml:space="preserve"> District Hefei</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Anhui Sheng, China</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PEM-America (H.K.) Co., Ltd.</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Room 1907, 19/f</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 xml:space="preserve">Great Eagle Center 23 </w:t>
      </w:r>
      <w:proofErr w:type="spellStart"/>
      <w:r w:rsidRPr="00D81577">
        <w:rPr>
          <w:rFonts w:ascii="Verdana" w:eastAsia="Times New Roman" w:hAnsi="Verdana" w:cs="Times New Roman"/>
          <w:sz w:val="20"/>
          <w:szCs w:val="20"/>
          <w:lang w:val="en-US" w:eastAsia="es-MX"/>
        </w:rPr>
        <w:t>Harbour</w:t>
      </w:r>
      <w:proofErr w:type="spellEnd"/>
      <w:r w:rsidRPr="00D81577">
        <w:rPr>
          <w:rFonts w:ascii="Verdana" w:eastAsia="Times New Roman" w:hAnsi="Verdana" w:cs="Times New Roman"/>
          <w:sz w:val="20"/>
          <w:szCs w:val="20"/>
          <w:lang w:val="en-US" w:eastAsia="es-MX"/>
        </w:rPr>
        <w:t xml:space="preserve"> Road</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Zip Code 990077, Wan Chai, Hong Kong</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 xml:space="preserve">Suzhou </w:t>
      </w:r>
      <w:proofErr w:type="spellStart"/>
      <w:r w:rsidRPr="00D81577">
        <w:rPr>
          <w:rFonts w:ascii="Verdana" w:eastAsia="Times New Roman" w:hAnsi="Verdana" w:cs="Times New Roman"/>
          <w:sz w:val="20"/>
          <w:szCs w:val="20"/>
          <w:lang w:val="en-US" w:eastAsia="es-MX"/>
        </w:rPr>
        <w:t>Yunying</w:t>
      </w:r>
      <w:proofErr w:type="spellEnd"/>
      <w:r w:rsidRPr="00D81577">
        <w:rPr>
          <w:rFonts w:ascii="Verdana" w:eastAsia="Times New Roman" w:hAnsi="Verdana" w:cs="Times New Roman"/>
          <w:sz w:val="20"/>
          <w:szCs w:val="20"/>
          <w:lang w:val="en-US" w:eastAsia="es-MX"/>
        </w:rPr>
        <w:t xml:space="preserve"> Textiles Co., Ltd.</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 xml:space="preserve">Industrial Park, </w:t>
      </w:r>
      <w:proofErr w:type="spellStart"/>
      <w:r w:rsidRPr="00D81577">
        <w:rPr>
          <w:rFonts w:ascii="Verdana" w:eastAsia="Times New Roman" w:hAnsi="Verdana" w:cs="Times New Roman"/>
          <w:sz w:val="20"/>
          <w:szCs w:val="20"/>
          <w:lang w:val="en-US" w:eastAsia="es-MX"/>
        </w:rPr>
        <w:t>Xinzhuang</w:t>
      </w:r>
      <w:proofErr w:type="spellEnd"/>
      <w:r w:rsidRPr="00D81577">
        <w:rPr>
          <w:rFonts w:ascii="Verdana" w:eastAsia="Times New Roman" w:hAnsi="Verdana" w:cs="Times New Roman"/>
          <w:sz w:val="20"/>
          <w:szCs w:val="20"/>
          <w:lang w:val="en-US" w:eastAsia="es-MX"/>
        </w:rPr>
        <w:t xml:space="preserve"> Town</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n-US" w:eastAsia="es-MX"/>
        </w:rPr>
        <w:t>Changshu City, Xin Zhuang</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 xml:space="preserve">Zip </w:t>
      </w:r>
      <w:proofErr w:type="spellStart"/>
      <w:r w:rsidRPr="00D81577">
        <w:rPr>
          <w:rFonts w:ascii="Verdana" w:eastAsia="Times New Roman" w:hAnsi="Verdana" w:cs="Times New Roman"/>
          <w:sz w:val="20"/>
          <w:szCs w:val="20"/>
          <w:lang w:eastAsia="es-MX"/>
        </w:rPr>
        <w:t>Code</w:t>
      </w:r>
      <w:proofErr w:type="spellEnd"/>
      <w:r w:rsidRPr="00D81577">
        <w:rPr>
          <w:rFonts w:ascii="Verdana" w:eastAsia="Times New Roman" w:hAnsi="Verdana" w:cs="Times New Roman"/>
          <w:sz w:val="20"/>
          <w:szCs w:val="20"/>
          <w:lang w:eastAsia="es-MX"/>
        </w:rPr>
        <w:t xml:space="preserve"> 215555, Jiangsu, China</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lastRenderedPageBreak/>
        <w:t>4. Gobierno</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Embajada de China en México</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Platón 317</w:t>
      </w:r>
    </w:p>
    <w:p w:rsidR="00D81577" w:rsidRPr="00D81577" w:rsidRDefault="00D81577" w:rsidP="00D81577">
      <w:pPr>
        <w:spacing w:before="100" w:beforeAutospacing="1" w:after="20"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Col. Polanco</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eastAsia="es-MX"/>
        </w:rPr>
        <w:t>C.P. 11560, Ciudad de México</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F. Requerimientos de información</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13.</w:t>
      </w:r>
      <w:r w:rsidRPr="00D81577">
        <w:rPr>
          <w:rFonts w:ascii="Verdana" w:eastAsia="Times New Roman" w:hAnsi="Verdana" w:cs="Times New Roman"/>
          <w:sz w:val="20"/>
          <w:szCs w:val="20"/>
          <w:lang w:eastAsia="es-MX"/>
        </w:rPr>
        <w:t xml:space="preserve"> Mediante oficio UPCI.416.19.598 del 1 de abril de 2019, la Secretaría requirió a Providencia para que presentara la constancia con la que acreditara su existencia legal, asimismo, que exhibiera documental en la que constara su carácter de productora nacional de la mercancía objeto de examen. El plazo venció el 8 de abril de 201</w:t>
      </w:r>
      <w:bookmarkStart w:id="2" w:name="N_Ref448412482"/>
      <w:bookmarkEnd w:id="2"/>
      <w:r w:rsidRPr="00D81577">
        <w:rPr>
          <w:rFonts w:ascii="Verdana" w:eastAsia="Times New Roman" w:hAnsi="Verdana" w:cs="Times New Roman"/>
          <w:sz w:val="20"/>
          <w:szCs w:val="20"/>
          <w:lang w:eastAsia="es-MX"/>
        </w:rPr>
        <w:t>9. Sin embargo, Providencia presentó carta de la Cámara de la Industria Textil Puebla y Tlaxcala sin fecha.</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14. </w:t>
      </w:r>
      <w:r w:rsidRPr="00D81577">
        <w:rPr>
          <w:rFonts w:ascii="Verdana" w:eastAsia="Times New Roman" w:hAnsi="Verdana" w:cs="Times New Roman"/>
          <w:sz w:val="20"/>
          <w:szCs w:val="20"/>
          <w:lang w:eastAsia="es-MX"/>
        </w:rPr>
        <w:t>Mediante oficio UPCI.416.19.1011 del 9 de abril de 2019, la Secretaría requirió a Providencia para que presentara constancia con la que acreditara su carácter de productora nacional de la mercancía objeto de examen. El 12 de abril de 2019 Providencia presentó la carta de la Cámara de la Industria Textil Puebla y Tlaxcala con fecha del 1 de abril de 2019.</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CONSIDERANDOS</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A. Competencia</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15.</w:t>
      </w:r>
      <w:r w:rsidRPr="00D81577">
        <w:rPr>
          <w:rFonts w:ascii="Verdana" w:eastAsia="Times New Roman" w:hAnsi="Verdana" w:cs="Times New Roman"/>
          <w:sz w:val="20"/>
          <w:szCs w:val="20"/>
          <w:lang w:eastAsia="es-MX"/>
        </w:rPr>
        <w:t xml:space="preserve"> La Secretaría es competente para emitir la presente Resolución, conforme a lo dispuesto en los artículos 16 y 34 fracciones V y XXXIII de la Ley Orgánica de la Administración Pública Federal; 1, 2 apartado B fracción III y 15 fracción I del Reglamento Interior de la Secretaría de Economía; 11.3, 12.1 y 12.3 del Acuerdo relativo a la Aplicación del Artículo VI del Acuerdo General sobre Aranceles Aduaneros y Comercio de 1994 (el "Acuerdo Antidumping"); 5 fracción VII, 70 fracción II, 70 B y 89 F de la Ley de Comercio Exterior (LCE), y 80 y 81 del Reglamento de la Ley de Comercio Exterior (RLCE).</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B. Legislación aplicable</w:t>
      </w:r>
    </w:p>
    <w:p w:rsidR="00D81577" w:rsidRPr="00D81577" w:rsidRDefault="00D81577" w:rsidP="00D81577">
      <w:pPr>
        <w:spacing w:before="100" w:beforeAutospacing="1" w:after="100" w:afterAutospacing="1" w:line="239"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16. </w:t>
      </w:r>
      <w:r w:rsidRPr="00D81577">
        <w:rPr>
          <w:rFonts w:ascii="Verdana" w:eastAsia="Times New Roman" w:hAnsi="Verdana" w:cs="Times New Roman"/>
          <w:sz w:val="20"/>
          <w:szCs w:val="20"/>
          <w:lang w:eastAsia="es-MX"/>
        </w:rPr>
        <w:t>Para efectos de este procedimiento son aplicables el Acuerdo Antidumping, la LCE, el RLCE, el Código Fiscal de la Federación, la Ley Federal de Procedimiento Contencioso Administrativo y el Código Federal de Procedimientos Civiles, estos tres últimos de aplicación supletoria.</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C. Protección de la información confidencial</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17. </w:t>
      </w:r>
      <w:r w:rsidRPr="00D81577">
        <w:rPr>
          <w:rFonts w:ascii="Verdana" w:eastAsia="Times New Roman" w:hAnsi="Verdana" w:cs="Times New Roman"/>
          <w:sz w:val="20"/>
          <w:szCs w:val="20"/>
          <w:lang w:eastAsia="es-MX"/>
        </w:rPr>
        <w:t xml:space="preserve">La Secretaría no puede revelar públicamente la información confidencial que las partes interesadas le presenten, ni la información confidencial de que ella misma se allegue, de conformidad con los artículos 6.5 del Acuerdo Antidumping, 80 de la LCE y 152 y 158 del RLCE. No obstante, las partes interesadas podrán obtener el acceso a la </w:t>
      </w:r>
      <w:r w:rsidRPr="00D81577">
        <w:rPr>
          <w:rFonts w:ascii="Verdana" w:eastAsia="Times New Roman" w:hAnsi="Verdana" w:cs="Times New Roman"/>
          <w:sz w:val="20"/>
          <w:szCs w:val="20"/>
          <w:lang w:eastAsia="es-MX"/>
        </w:rPr>
        <w:lastRenderedPageBreak/>
        <w:t>información confidencial, siempre y cuando satisfagan los requisitos establecidos en los artículos 159 y 160 del RLCE.</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D. Legitimación para el inicio del examen de vigencia de cuota</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18.</w:t>
      </w:r>
      <w:r w:rsidRPr="00D81577">
        <w:rPr>
          <w:rFonts w:ascii="Verdana" w:eastAsia="Times New Roman" w:hAnsi="Verdana" w:cs="Times New Roman"/>
          <w:sz w:val="20"/>
          <w:szCs w:val="20"/>
          <w:lang w:eastAsia="es-MX"/>
        </w:rPr>
        <w:t xml:space="preserve"> Conforme a los artículos 11.3 del Acuerdo Antidumping, 70 fracción II y 70 B de la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19. </w:t>
      </w:r>
      <w:r w:rsidRPr="00D81577">
        <w:rPr>
          <w:rFonts w:ascii="Verdana" w:eastAsia="Times New Roman" w:hAnsi="Verdana" w:cs="Times New Roman"/>
          <w:sz w:val="20"/>
          <w:szCs w:val="20"/>
          <w:lang w:eastAsia="es-MX"/>
        </w:rPr>
        <w:t xml:space="preserve">En el presente caso, Providencia, en su calidad de productora nacional del producto objeto de examen, manifestó en tiempo y forma su interés en que se inicie el examen de vigencia de la cuota compensatoria impuesta a las importaciones de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estampados, lisos, con o sin bordado, con o sin guata intermedia, de cualquier tamaño, originarias de China, por lo que se actualizan los supuestos previstos en la legislación de la materia y, en consecuencia, procede iniciarlo.</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E. Periodo de examen y de análisis</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20. </w:t>
      </w:r>
      <w:r w:rsidRPr="00D81577">
        <w:rPr>
          <w:rFonts w:ascii="Verdana" w:eastAsia="Times New Roman" w:hAnsi="Verdana" w:cs="Times New Roman"/>
          <w:sz w:val="20"/>
          <w:szCs w:val="20"/>
          <w:lang w:eastAsia="es-MX"/>
        </w:rPr>
        <w:t>La Secretaría determina fijar como periodo de examen el propuesto por Providencia, comprendido del 1 de enero de 2018 al 31 de diciembre de 2018 y como periodo de análisis el comprendido del 1 de enero de 2014 al 31 de diciembre de 2018, toda vez que éstos se apegan a lo previsto en el artículo 76 del RLCE y a la recomendación del Comité de Prácticas Antidumping de la Organización Mundial del Comercio (documento G/ADP/6 adoptado el 5 de mayo de 2000).</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21. </w:t>
      </w:r>
      <w:r w:rsidRPr="00D81577">
        <w:rPr>
          <w:rFonts w:ascii="Verdana" w:eastAsia="Times New Roman" w:hAnsi="Verdana" w:cs="Times New Roman"/>
          <w:sz w:val="20"/>
          <w:szCs w:val="20"/>
          <w:lang w:eastAsia="es-MX"/>
        </w:rPr>
        <w:t xml:space="preserve">Por lo expuesto, con fundamento en los artículos 11.1 y 11.3 del Acuerdo Antidumping, y 67, 70 </w:t>
      </w:r>
      <w:proofErr w:type="gramStart"/>
      <w:r w:rsidRPr="00D81577">
        <w:rPr>
          <w:rFonts w:ascii="Verdana" w:eastAsia="Times New Roman" w:hAnsi="Verdana" w:cs="Times New Roman"/>
          <w:sz w:val="20"/>
          <w:szCs w:val="20"/>
          <w:lang w:eastAsia="es-MX"/>
        </w:rPr>
        <w:t>fracción</w:t>
      </w:r>
      <w:proofErr w:type="gramEnd"/>
      <w:r w:rsidRPr="00D81577">
        <w:rPr>
          <w:rFonts w:ascii="Verdana" w:eastAsia="Times New Roman" w:hAnsi="Verdana" w:cs="Times New Roman"/>
          <w:sz w:val="20"/>
          <w:szCs w:val="20"/>
          <w:lang w:eastAsia="es-MX"/>
        </w:rPr>
        <w:t xml:space="preserve"> II, 70 B y 89 F de la LCE, se emite la siguiente</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sz w:val="20"/>
          <w:szCs w:val="20"/>
          <w:lang w:val="es-ES_tradnl" w:eastAsia="es-MX"/>
        </w:rPr>
        <w:t>RESOLUCIÓN</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22. </w:t>
      </w:r>
      <w:r w:rsidRPr="00D81577">
        <w:rPr>
          <w:rFonts w:ascii="Verdana" w:eastAsia="Times New Roman" w:hAnsi="Verdana" w:cs="Times New Roman"/>
          <w:sz w:val="20"/>
          <w:szCs w:val="20"/>
          <w:lang w:eastAsia="es-MX"/>
        </w:rPr>
        <w:t xml:space="preserve">Se declara el inicio del examen de vigencia de la cuota compensatoria definitiva impuesta a las importaciones de los cobertores de fibras sintéticas de tejido tipo </w:t>
      </w:r>
      <w:proofErr w:type="spellStart"/>
      <w:r w:rsidRPr="00D81577">
        <w:rPr>
          <w:rFonts w:ascii="Verdana" w:eastAsia="Times New Roman" w:hAnsi="Verdana" w:cs="Times New Roman"/>
          <w:sz w:val="20"/>
          <w:szCs w:val="20"/>
          <w:lang w:eastAsia="es-MX"/>
        </w:rPr>
        <w:t>raschel</w:t>
      </w:r>
      <w:proofErr w:type="spellEnd"/>
      <w:r w:rsidRPr="00D81577">
        <w:rPr>
          <w:rFonts w:ascii="Verdana" w:eastAsia="Times New Roman" w:hAnsi="Verdana" w:cs="Times New Roman"/>
          <w:sz w:val="20"/>
          <w:szCs w:val="20"/>
          <w:lang w:eastAsia="es-MX"/>
        </w:rPr>
        <w:t>, estampados, lisos, con o sin bordado, con o sin guata intermedia, de cualquier tamaño, originarias de China, independientemente del país de procedencia, que ingresan a través de las fracciones arancelarias 6301.40.01 y 9404.90.99 de la TIGIE, o por cualquier otra.</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23.</w:t>
      </w:r>
      <w:r w:rsidRPr="00D81577">
        <w:rPr>
          <w:rFonts w:ascii="Verdana" w:eastAsia="Times New Roman" w:hAnsi="Verdana" w:cs="Times New Roman"/>
          <w:sz w:val="20"/>
          <w:szCs w:val="20"/>
          <w:lang w:eastAsia="es-MX"/>
        </w:rPr>
        <w:t xml:space="preserve"> Se fija como periodo de examen el comprendido del 1 de enero de 2018 al 31 de diciembre de 2018 y como periodo de análisis el comprendido del 1 de enero de 2014 al 31 de diciembre de 2018.</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24. </w:t>
      </w:r>
      <w:r w:rsidRPr="00D81577">
        <w:rPr>
          <w:rFonts w:ascii="Verdana" w:eastAsia="Times New Roman" w:hAnsi="Verdana" w:cs="Times New Roman"/>
          <w:sz w:val="20"/>
          <w:szCs w:val="20"/>
          <w:lang w:eastAsia="es-MX"/>
        </w:rPr>
        <w:t>Conforme a lo establecido en los artículos 11.3 del Acuerdo Antidumping, 70 fracción II y 89 F de la LCE y 94 del RLCE, la cuota compensatoria definitiva a que se refiere el punto 1 de la presente Resolución, continuará vigente mientras se tramita el presente procedimiento de examen de vigencia.</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25. </w:t>
      </w:r>
      <w:r w:rsidRPr="00D81577">
        <w:rPr>
          <w:rFonts w:ascii="Verdana" w:eastAsia="Times New Roman" w:hAnsi="Verdana" w:cs="Times New Roman"/>
          <w:sz w:val="20"/>
          <w:szCs w:val="20"/>
          <w:lang w:eastAsia="es-MX"/>
        </w:rPr>
        <w:t xml:space="preserve">De conformidad con los artículos 6.1 y 11.4 del Acuerdo Antidumping y 3 último párrafo y 89 F de la LCE, los productores nacionales, importadores, exportadores, personas morales extranjeras o cualquier persona que acredite tener interés jurídico en el resultado de este procedimiento de examen, contarán con un plazo de veintiocho </w:t>
      </w:r>
      <w:r w:rsidRPr="00D81577">
        <w:rPr>
          <w:rFonts w:ascii="Verdana" w:eastAsia="Times New Roman" w:hAnsi="Verdana" w:cs="Times New Roman"/>
          <w:sz w:val="20"/>
          <w:szCs w:val="20"/>
          <w:lang w:eastAsia="es-MX"/>
        </w:rPr>
        <w:lastRenderedPageBreak/>
        <w:t>días hábiles para acreditar su interés jurídico y presentar la respuesta al formulario oficial establecido para tal efecto, así como los argumentos y las pruebas que consideren convenientes. El plazo de veintiocho días hábiles se contará a partir del día siguiente de la publicación en el DOF de la presente Resolución y concluirá a las 14:00 horas del día de su vencimiento.</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26. </w:t>
      </w:r>
      <w:r w:rsidRPr="00D81577">
        <w:rPr>
          <w:rFonts w:ascii="Verdana" w:eastAsia="Times New Roman" w:hAnsi="Verdana" w:cs="Times New Roman"/>
          <w:sz w:val="20"/>
          <w:szCs w:val="20"/>
          <w:lang w:eastAsia="es-MX"/>
        </w:rPr>
        <w:t>El formulario oficial a que se refiere el punto anterior, se podrá obtener en la oficialía de partes de la UPCI, sita en Insurgentes Sur 1940, planta baja, Col. Florida, C.P. 01030, en la Ciudad de México, de lunes a viernes de 9:00 a 14:00 horas o en la página de Internet de la Secretaría.</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27. </w:t>
      </w:r>
      <w:r w:rsidRPr="00D81577">
        <w:rPr>
          <w:rFonts w:ascii="Verdana" w:eastAsia="Times New Roman" w:hAnsi="Verdana" w:cs="Times New Roman"/>
          <w:sz w:val="20"/>
          <w:szCs w:val="20"/>
          <w:lang w:eastAsia="es-MX"/>
        </w:rPr>
        <w:t>Notifíquese la presente Resolución a las partes de que se tenga conocimiento.</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 xml:space="preserve">28. </w:t>
      </w:r>
      <w:r w:rsidRPr="00D81577">
        <w:rPr>
          <w:rFonts w:ascii="Verdana" w:eastAsia="Times New Roman" w:hAnsi="Verdana" w:cs="Times New Roman"/>
          <w:sz w:val="20"/>
          <w:szCs w:val="20"/>
          <w:lang w:eastAsia="es-MX"/>
        </w:rPr>
        <w:t>Comuníquese esta Resolución al Servicio de Administración Tributaria, para los efectos legales correspondientes.</w:t>
      </w:r>
    </w:p>
    <w:p w:rsidR="00D81577" w:rsidRPr="00D81577" w:rsidRDefault="00D81577" w:rsidP="00D81577">
      <w:pPr>
        <w:spacing w:before="100" w:beforeAutospacing="1" w:after="100" w:afterAutospacing="1" w:line="232" w:lineRule="exact"/>
        <w:rPr>
          <w:rFonts w:ascii="Verdana" w:eastAsia="Times New Roman" w:hAnsi="Verdana" w:cs="Times New Roman"/>
          <w:sz w:val="20"/>
          <w:szCs w:val="20"/>
          <w:lang w:eastAsia="es-MX"/>
        </w:rPr>
      </w:pPr>
      <w:r w:rsidRPr="00D81577">
        <w:rPr>
          <w:rFonts w:ascii="Verdana" w:eastAsia="Times New Roman" w:hAnsi="Verdana" w:cs="Times New Roman"/>
          <w:b/>
          <w:sz w:val="20"/>
          <w:szCs w:val="20"/>
          <w:lang w:eastAsia="es-MX"/>
        </w:rPr>
        <w:t>29.</w:t>
      </w:r>
      <w:r w:rsidRPr="00D81577">
        <w:rPr>
          <w:rFonts w:ascii="Verdana" w:eastAsia="Times New Roman" w:hAnsi="Verdana" w:cs="Times New Roman"/>
          <w:sz w:val="20"/>
          <w:szCs w:val="20"/>
          <w:lang w:eastAsia="es-MX"/>
        </w:rPr>
        <w:t xml:space="preserve"> La presente Resolución entrará en vigor al día siguiente de su publicación en el DOF.</w:t>
      </w:r>
    </w:p>
    <w:p w:rsidR="00D81577" w:rsidRPr="00D81577" w:rsidRDefault="00D81577" w:rsidP="00D81577">
      <w:pPr>
        <w:spacing w:before="100" w:beforeAutospacing="1" w:after="0" w:line="240" w:lineRule="auto"/>
        <w:jc w:val="both"/>
        <w:rPr>
          <w:rFonts w:ascii="Verdana" w:eastAsia="Times New Roman" w:hAnsi="Verdana" w:cs="Times New Roman"/>
          <w:sz w:val="20"/>
          <w:szCs w:val="20"/>
          <w:lang w:eastAsia="es-MX"/>
        </w:rPr>
      </w:pPr>
      <w:r w:rsidRPr="00D81577">
        <w:rPr>
          <w:rFonts w:ascii="Verdana" w:eastAsia="Times New Roman" w:hAnsi="Verdana" w:cs="Arial"/>
          <w:sz w:val="20"/>
          <w:szCs w:val="20"/>
          <w:lang w:eastAsia="es-MX"/>
        </w:rPr>
        <w:t>Ciudad de México, a 7 de mayo de 2019.- La Secretaria de Economía, Graciela Márquez Colín.- Rúbrica.</w:t>
      </w:r>
    </w:p>
    <w:p w:rsidR="00D81577" w:rsidRPr="00D81577" w:rsidRDefault="00D81577" w:rsidP="00D81577">
      <w:pPr>
        <w:spacing w:before="100" w:beforeAutospacing="1" w:after="0" w:line="240" w:lineRule="auto"/>
        <w:jc w:val="both"/>
        <w:rPr>
          <w:rFonts w:ascii="Verdana" w:eastAsia="Times New Roman" w:hAnsi="Verdana" w:cs="Times New Roman"/>
          <w:sz w:val="24"/>
          <w:szCs w:val="24"/>
          <w:lang w:eastAsia="es-MX"/>
        </w:rPr>
      </w:pPr>
      <w:r w:rsidRPr="00D81577">
        <w:rPr>
          <w:rFonts w:ascii="Verdana" w:eastAsia="Times New Roman" w:hAnsi="Verdana" w:cs="Arial"/>
          <w:sz w:val="20"/>
          <w:szCs w:val="20"/>
          <w:lang w:eastAsia="es-MX"/>
        </w:rPr>
        <w:t> </w:t>
      </w:r>
    </w:p>
    <w:p w:rsidR="00A762DB" w:rsidRPr="00D81577" w:rsidRDefault="00A762DB">
      <w:pPr>
        <w:rPr>
          <w:rFonts w:ascii="Verdana" w:hAnsi="Verdana"/>
        </w:rPr>
      </w:pPr>
    </w:p>
    <w:sectPr w:rsidR="00A762DB" w:rsidRPr="00D815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7"/>
    <w:rsid w:val="00A762DB"/>
    <w:rsid w:val="00D815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D8157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87701">
      <w:bodyDiv w:val="1"/>
      <w:marLeft w:val="0"/>
      <w:marRight w:val="0"/>
      <w:marTop w:val="0"/>
      <w:marBottom w:val="0"/>
      <w:divBdr>
        <w:top w:val="none" w:sz="0" w:space="0" w:color="auto"/>
        <w:left w:val="none" w:sz="0" w:space="0" w:color="auto"/>
        <w:bottom w:val="none" w:sz="0" w:space="0" w:color="auto"/>
        <w:right w:val="none" w:sz="0" w:space="0" w:color="auto"/>
      </w:divBdr>
      <w:divsChild>
        <w:div w:id="1271355301">
          <w:marLeft w:val="0"/>
          <w:marRight w:val="0"/>
          <w:marTop w:val="0"/>
          <w:marBottom w:val="0"/>
          <w:divBdr>
            <w:top w:val="none" w:sz="0" w:space="0" w:color="auto"/>
            <w:left w:val="none" w:sz="0" w:space="0" w:color="auto"/>
            <w:bottom w:val="single" w:sz="12" w:space="1" w:color="auto"/>
            <w:right w:val="none" w:sz="0" w:space="0" w:color="auto"/>
          </w:divBdr>
        </w:div>
        <w:div w:id="2050638915">
          <w:marLeft w:val="0"/>
          <w:marRight w:val="0"/>
          <w:marTop w:val="0"/>
          <w:marBottom w:val="0"/>
          <w:divBdr>
            <w:top w:val="doub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13920</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Morgan Hernández</dc:creator>
  <cp:lastModifiedBy>Allan Morgan Hernández</cp:lastModifiedBy>
  <cp:revision>1</cp:revision>
  <dcterms:created xsi:type="dcterms:W3CDTF">2019-05-16T14:33:00Z</dcterms:created>
  <dcterms:modified xsi:type="dcterms:W3CDTF">2019-05-16T14:34:00Z</dcterms:modified>
</cp:coreProperties>
</file>