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Bold" w:hAnsi="Verdana Bold" w:eastAsia="serif" w:cs="Verdana Bold"/>
          <w:b/>
          <w:bCs/>
          <w:i w:val="0"/>
          <w:caps w:val="0"/>
          <w:color w:val="5B9BD5" w:themeColor="accent1"/>
          <w:spacing w:val="0"/>
          <w:sz w:val="20"/>
          <w:szCs w:val="20"/>
          <w14:textFill>
            <w14:solidFill>
              <w14:schemeClr w14:val="accent1"/>
            </w14:solidFill>
          </w14:textFill>
        </w:rPr>
      </w:pP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cuerdo</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 que modifica el diverso por el que se estab</w:t>
      </w:r>
      <w:bookmarkStart w:id="0" w:name="_GoBack"/>
      <w:bookmarkEnd w:id="0"/>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lecen medidas administrativas en la Secretaría de Economía, con motivo de la emergencia sanitaria generada por el Coronavirus COVID-19</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br w:type="textWrapping"/>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(DOF 24 de diciembre de 2020)</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ECONOMÍA.- Secretaría de Economía.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 fundamento en lo establecido en los artículos 4o. de la Constitución Política de los Estados Unidos Mexicanos; 140 de la Ley General de Salud; 26 y 34, fracción XXXIII, de la Ley Orgánica de la Administración Pública Federal; 4, 28 y 31 de la Ley Federal de Procedimiento Administrativo; 5 fracción XVII del Reglamento Interior de la Secretaría de Economía,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derecho a la salud constituye uno de los derechos humanos fundamentales y conforme al artículo 4o. de la Constitución Política de los Estados Unidos Mexicanos, toda persona tiene derecho a la protección de la salud.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 certeza jurídica sobre la continuidad de los trámites seguidos ante la Secretaría de Economía.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23 de marzo de 2020, se publicó en el Diario Oficial de la Federación (DOF)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26 de marzo de 2020, se publicó en el DOF el Acuerdo por el que se suspenden términos en la Secretaría de Economía y se establecen medidas administrativas para contener la propagación del Coronavirus COVID-19, mismo que fue modificado mediante diversos publicados en el mismo órgano de difusión oficial el 1 y 30 de abril, 29 de mayo y 15 de junio, todos del 2020, respectivamente.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14 de mayo de 2020, la Secretaría de Salud publicó en el DOF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modificado mediante diverso publicado en el mismo órgano informativo el 15 de mayo de 2020, por medio del cual se estableció la reapertura de algunas actividades a partir del 1 de junio de 2020, conforme al sistema de semáforo por regiones para la reapertura de actividades sociales, educativas y económicas.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derivado de lo anterior, y en aras de seguir mitigando la propagación de la enfermedad por el virus SARS-CoV2 (COVID-19) y con ello salvaguardar la integridad, seguridad física, proteger al público usuario y dar cumplimiento a las disposiciones antes señaladas, el 29 de junio de 2020 se publicó en el DOF el Acuerdo por el que se establecen las medidas administrativas en la Secretaría de Economía, con motivo de la emergencia sanitaria generada por el coronavirus COVID-19, mismo que fue modificado mediante diversos publicado en el mismo órgano de difusión oficial el 20 de julio y el 6 de noviembre del 2020.</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Acuerdo citado, establecía una vigencia del mismo hasta que la autoridad sanitaria determine que no existe un riesgo epidemiológico relacionado con la apertura, de manera gradual, cauta y ordenada, de las actividades relacionadas con la Administración Pública Federal, conforme al sistema de semáforo por regiones, de las zonas geográficas donde los inmuebles en los que opera la Secretaría de Economía tienen su domicilio, o se cumplan seis meses de su vigencia.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Acuerdo referido en el Considerando anterior, dispone que corresponde a las unidades administrativas establecer mecanismos de trabajo que les permitan continuar cumpliendo con sus funciones, tomando en cuenta las medidas preventivas que haya emitido o emita la Secretaría de Salud y demás autoridades competentes.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tomando en consideración que las causas que dieron origen a la emisión del multicitado Acuerdo aún permanecen vigentes, es necesario que esta Secretaría continúe implementando las medidas que en el mismo se contemplan, por lo que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 QUE MODIFICA EL DIVERSO POR EL QUE SE ESTABLECEN MEDIDAS ADMINISTRATIVAS</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EN LA SECRETARÍA DE ECONOMÍA, CON MOTIVO DE LA EMERGENCIA SANITARIA GENERADA</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POR EL CORONAVIRUS COVID-19</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caps w:val="0"/>
          <w:color w:val="2F2F2F"/>
          <w:spacing w:val="0"/>
          <w:kern w:val="0"/>
          <w:sz w:val="20"/>
          <w:szCs w:val="20"/>
          <w:shd w:val="clear" w:fill="FFFFFF"/>
          <w:lang w:val="en-US" w:eastAsia="zh-CN" w:bidi="ar"/>
        </w:rPr>
        <w:t> Se</w:t>
      </w:r>
      <w:r>
        <w:rPr>
          <w:rFonts w:hint="default" w:ascii="Verdana Regular" w:hAnsi="Verdana Regular" w:eastAsia="SimSun" w:cs="Verdana Regular"/>
          <w:b/>
          <w:i w:val="0"/>
          <w:caps w:val="0"/>
          <w:color w:val="2F2F2F"/>
          <w:spacing w:val="0"/>
          <w:kern w:val="0"/>
          <w:sz w:val="20"/>
          <w:szCs w:val="20"/>
          <w:shd w:val="clear" w:fill="FFFFFF"/>
          <w:lang w:val="en-US" w:eastAsia="zh-CN" w:bidi="ar"/>
        </w:rPr>
        <w:t> reforma</w:t>
      </w:r>
      <w:r>
        <w:rPr>
          <w:rFonts w:hint="default" w:ascii="Verdana Regular" w:hAnsi="Verdana Regular" w:eastAsia="SimSun" w:cs="Verdana Regular"/>
          <w:i w:val="0"/>
          <w:caps w:val="0"/>
          <w:color w:val="2F2F2F"/>
          <w:spacing w:val="0"/>
          <w:kern w:val="0"/>
          <w:sz w:val="20"/>
          <w:szCs w:val="20"/>
          <w:shd w:val="clear" w:fill="FFFFFF"/>
          <w:lang w:val="en-US" w:eastAsia="zh-CN" w:bidi="ar"/>
        </w:rPr>
        <w:t> el numeral Tercero; se </w:t>
      </w:r>
      <w:r>
        <w:rPr>
          <w:rFonts w:hint="default" w:ascii="Verdana Regular" w:hAnsi="Verdana Regular" w:eastAsia="SimSun" w:cs="Verdana Regular"/>
          <w:b/>
          <w:i w:val="0"/>
          <w:caps w:val="0"/>
          <w:color w:val="2F2F2F"/>
          <w:spacing w:val="0"/>
          <w:kern w:val="0"/>
          <w:sz w:val="20"/>
          <w:szCs w:val="20"/>
          <w:shd w:val="clear" w:fill="FFFFFF"/>
          <w:lang w:val="en-US" w:eastAsia="zh-CN" w:bidi="ar"/>
        </w:rPr>
        <w:t>adiciona</w:t>
      </w:r>
      <w:r>
        <w:rPr>
          <w:rFonts w:hint="default" w:ascii="Verdana Regular" w:hAnsi="Verdana Regular" w:eastAsia="SimSun" w:cs="Verdana Regular"/>
          <w:i w:val="0"/>
          <w:caps w:val="0"/>
          <w:color w:val="2F2F2F"/>
          <w:spacing w:val="0"/>
          <w:kern w:val="0"/>
          <w:sz w:val="20"/>
          <w:szCs w:val="20"/>
          <w:shd w:val="clear" w:fill="FFFFFF"/>
          <w:lang w:val="en-US" w:eastAsia="zh-CN" w:bidi="ar"/>
        </w:rPr>
        <w:t> un inciso h) al numeral Noveno, y se </w:t>
      </w:r>
      <w:r>
        <w:rPr>
          <w:rFonts w:hint="default" w:ascii="Verdana Regular" w:hAnsi="Verdana Regular" w:eastAsia="SimSun" w:cs="Verdana Regular"/>
          <w:b/>
          <w:i w:val="0"/>
          <w:caps w:val="0"/>
          <w:color w:val="2F2F2F"/>
          <w:spacing w:val="0"/>
          <w:kern w:val="0"/>
          <w:sz w:val="20"/>
          <w:szCs w:val="20"/>
          <w:shd w:val="clear" w:fill="FFFFFF"/>
          <w:lang w:val="en-US" w:eastAsia="zh-CN" w:bidi="ar"/>
        </w:rPr>
        <w:t>derogan</w:t>
      </w:r>
      <w:r>
        <w:rPr>
          <w:rFonts w:hint="default" w:ascii="Verdana Regular" w:hAnsi="Verdana Regular" w:eastAsia="SimSun" w:cs="Verdana Regular"/>
          <w:i w:val="0"/>
          <w:caps w:val="0"/>
          <w:color w:val="2F2F2F"/>
          <w:spacing w:val="0"/>
          <w:kern w:val="0"/>
          <w:sz w:val="20"/>
          <w:szCs w:val="20"/>
          <w:shd w:val="clear" w:fill="FFFFFF"/>
          <w:lang w:val="en-US" w:eastAsia="zh-CN" w:bidi="ar"/>
        </w:rPr>
        <w:t> las fracciones XI y XII del inciso a) del numeral Noveno, del Acuerdo por el que se establecen medidas administrativas en la Secretaría de Economía, con motivo de la emergencia sanitaria generada por el coronavirus COVID-19, publicado en el Diario Oficial de la Federación el 29 de junio de 2020, y sus modificaciones de 20 de julio y 6 de noviembre de 2020, para quedar como sigue: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b/>
          <w:i w:val="0"/>
          <w:caps w:val="0"/>
          <w:color w:val="2F2F2F"/>
          <w:spacing w:val="0"/>
          <w:kern w:val="0"/>
          <w:sz w:val="20"/>
          <w:szCs w:val="20"/>
          <w:shd w:val="clear" w:fill="FFFFFF"/>
          <w:lang w:val="en-US" w:eastAsia="zh-CN" w:bidi="ar"/>
        </w:rPr>
        <w:t>Tercero.-</w:t>
      </w:r>
      <w:r>
        <w:rPr>
          <w:rFonts w:hint="default" w:ascii="Verdana Regular" w:hAnsi="Verdana Regular" w:eastAsia="SimSun" w:cs="Verdana Regular"/>
          <w:i w:val="0"/>
          <w:caps w:val="0"/>
          <w:color w:val="2F2F2F"/>
          <w:spacing w:val="0"/>
          <w:kern w:val="0"/>
          <w:sz w:val="20"/>
          <w:szCs w:val="20"/>
          <w:shd w:val="clear" w:fill="FFFFFF"/>
          <w:lang w:val="en-US" w:eastAsia="zh-CN" w:bidi="ar"/>
        </w:rPr>
        <w:t> Para efecto de los procedimientos de investigación en materia de prácticas desleales de comercio internacional, de los procedimientos especiales que deriven de éstos y de los recursos de revocación tramitados ante la Unidad de Prácticas Comerciales Internacionales (UPCI), el desarrollo de dichos procedimientos se sujetará a lo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trámite y desahogo de todas las diligencias se realizará vía electrónica, a través de la dirección de correo electrónico upci@economia.gob.mx, atendiendo lo siguiente: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todas las promociones deberán contener la firma autógrafa del promovente;</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todas las promociones deberá incluirse un índice, listando los documentos anexados en cada promoción;</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todas las promociones se observarán las reglas de confidencialidad previstas en la Ley de Comercio Exterior y su Reglamento, y</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partes, en sus promociones, deberán señalar, por lo menos, un correo electrónico para recibir las notificaciones por parte de la UPCI, así como un número telefónico de contacto.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actuaciones y trámites gestionados por medio de las cuentas de correo electrónico upci@economia.gob.mx, UPCIConsultas@economia.gob.mx y UPCINopartes@economia.gob.mx se sujetarán a los plazos, requisitos y formalidades establecidas en la normativa aplicable;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En caso que se requiera exhibir muestras físicas, documentos originales o cualquier otra información que por su naturaleza o circunstancias particulares no sea posible presentar vía electrónica, la UPCI dará a conocer, a las partes involucradas, los lineamientos para su presentación. Para ello, se tomarán en cuenta las medidas preventivas de salud, higiene y sana distancia emitidas por la Secretaría de Salud y demás autoridades competentes;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De conformidad con la Ley de Comercio Exterior y su Reglamento, todas las notificaciones electrónicas que realice la UPCI a los correos electrónicos señalados para tal efecto, deberán ser acusadas de recibido;</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reuniones y audiencias públicas se llevarán a cabo vía remota, mediante el uso de medios de comunicación electrónicos a distancia y de acuerdo con los lineamientos que establezca la UPCI para tal efecto. La UPCI dará a conocer, a través de su sección en la página de Internet de la Secretaría de Economía (https://www.gob.mx/se/acciones-y-programas/industria-y-comercio-unidad-de-practicas-comerciales-internacionales-upci?state=published), los medios electrónicos a través de los cuales podrán llevarse a cabo y, en su caso, presenciarse;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f)</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Las consultas técnicas, solicitudes de copias certificadas y de acceso al expediente administrativo, así como cualquier duda o aclaración respecto a los trámites ante la UPCI, se realizarán vía electrónica, a través de la dirección de correo electrónico UPCIConsultas@economia.gob.mx. Los solicitantes deberán señalar, por lo menos, un correo electrónico para recibir las comunicaciones de la UPCI, así como un número telefónico de contacto, a través de las cuales se indicarán los lineamientos para que, en su caso, su solicitud sea atendida. Para ello, se tomarán en cuenta las recomendaciones y medidas preventivas de salud, higiene y sana distancia emitidas por la Secretaría de Salud y demás autoridades competentes;</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g)</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La presentación de la información en respuesta a los requerimientos formulados por la UPCI, en términos del artículo 55 de la Ley de Comercio Exterior, incluida aquélla que deban presentar los agentes aduanales, se realizará vía electrónica, a través de la dirección de correo electrónico UPCINopartes@economia.gob.mx;</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h)</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Toda la información enviada por vía electrónica, se recibirá en un horario de 9:00 a 18:00 horas de lunes a viernes. Para el caso de las promociones o información que se reciba después de las 18:00 horas o en días inhábiles, se considerará presentada al día hábil inmediato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Únicamente para el caso que la información enviada exceda de 20 Megabytes (MB), se deberá hacer uso de alguna herramienta de información compartida en nube, por ejemplo, Dropbox, Google Drive, One Drive, etc. Para tal efecto, se deberá adjuntar la liga con los permisos correspondientes a efecto de que la UPCI esté en posibilidad de obtenerla. La información que se transmita mediante este medio deberá estar a disposición y sin alteración o modificación alguna, durante la vigencia del presente Acuerdo, y</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j)</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Durante el periodo de vigencia del presente Acuerdo no se admitirán promociones ni se llevarán a cabo reuniones, audiencias, visitas de verificación o cualquier otra actividad similar de manera presencial, salvo las excepciones previstas en el mismo.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Noveno.-</w:t>
      </w:r>
      <w:r>
        <w:rPr>
          <w:rFonts w:hint="default" w:ascii="Verdana Regular" w:hAnsi="Verdana Regular" w:eastAsia="SimSun" w:cs="Verdana Regular"/>
          <w:i w:val="0"/>
          <w:caps w:val="0"/>
          <w:color w:val="2F2F2F"/>
          <w:spacing w:val="0"/>
          <w:kern w:val="0"/>
          <w:sz w:val="20"/>
          <w:szCs w:val="20"/>
          <w:shd w:val="clear" w:fill="FFFFFF"/>
          <w:lang w:val="en-US" w:eastAsia="zh-CN" w:bidi="ar"/>
        </w:rPr>
        <w:t> Para efectos de los trámites seguidos ante la Dirección General de Minas, se estará a lo siguiente:</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I a X </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1" w:afterAutospacing="0"/>
        <w:ind w:left="1152"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Se deroga</w:t>
      </w:r>
    </w:p>
    <w:p>
      <w:pPr>
        <w:keepNext w:val="0"/>
        <w:keepLines w:val="0"/>
        <w:widowControl/>
        <w:suppressLineNumbers w:val="0"/>
        <w:shd w:val="clear" w:fill="FFFFFF"/>
        <w:spacing w:after="101" w:afterAutospacing="0"/>
        <w:ind w:left="720"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XIII a XXVII </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g)</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720" w:hanging="432"/>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h)</w:t>
      </w:r>
      <w:r>
        <w:rPr>
          <w:rFonts w:hint="default" w:ascii="Verdana Regular" w:hAnsi="Verdana Regular" w:eastAsia="SimSun" w:cs="Verdana Regular"/>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El Informe técnico sobre las obras y trabajos de exploración, y el Informe estadístico sobre la producción, beneficio y destino de minerales o sustancias concesibles, deberán presentarse a través de la página de internet de la Secretaría de Economía, https://www.peam.economia.gob.mx, mediante la cual, previo registro, se capturará la información. De conformidad con lo señalado en el artículo 31 de la Ley Federal de Procedimiento Administrativo, se amplía el plazo para rendir los informes señalados en el presente inciso, pudiendo ser entregados dentro de los primeros 45 días hábiles del año 2021, sin perjuicio para los concesionarios."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caps w:val="0"/>
          <w:color w:val="2F2F2F"/>
          <w:spacing w:val="0"/>
          <w:kern w:val="0"/>
          <w:sz w:val="20"/>
          <w:szCs w:val="20"/>
          <w:shd w:val="clear" w:fill="FFFFFF"/>
          <w:lang w:val="en-US" w:eastAsia="zh-CN" w:bidi="ar"/>
        </w:rPr>
        <w:t> Se prorroga la vigencia del Acuerdo por el que se establecen medidas administrativas en la Secretaría de Economía, con motivo de la emergencia sanitaria generada por el coronavirus COVID-19 publicado en el Diario Oficial de la Federación el 29 de junio de 2020 y sus modificaciones posteriores, para lo que se modifica el Transitorio ÚNICO del mismo, para quedar como sigue: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presente Acuerdo entrará en vigor el día de su publicación en el Diario Oficial de la Federación y estará vigente hasta el 29 de junio de 2021, o hasta que la autoridad sanitaria determine que no existe un riesgo epidemiológico relacionado con la apertura, de manera gradual, cauta y ordenada, de las actividades relacionadas con la Administración Pública Federal, conforme al sistema de semáforo por regiones, de las zonas geográficas donde los inmuebles en los que opera la Secretaría de Economía tienen su domicilio."</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w:t>
      </w:r>
      <w:r>
        <w:rPr>
          <w:rFonts w:hint="default" w:ascii="Verdana Regular" w:hAnsi="Verdana Regular" w:eastAsia="SimSun" w:cs="Verdana Regular"/>
          <w:i w:val="0"/>
          <w:caps w:val="0"/>
          <w:color w:val="2F2F2F"/>
          <w:spacing w:val="0"/>
          <w:kern w:val="0"/>
          <w:sz w:val="20"/>
          <w:szCs w:val="20"/>
          <w:shd w:val="clear" w:fill="FFFFFF"/>
          <w:lang w:val="en-US" w:eastAsia="zh-CN" w:bidi="ar"/>
        </w:rPr>
        <w:t> El presente Acuerdo entrará en vigor el día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Ciudad de México, a 16 de diciembre de 2020.- La Secretaria de Economía,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Graciela Márquez Colín</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F2973"/>
    <w:rsid w:val="49FF2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2020-12-24T10:21:00Z</dcterms:created>
  <dc:creator>allanmorgan</dc:creator>
  <cp:lastModifiedBy>allanmorgan</cp:lastModifiedBy>
  <dcterms:modified xsi:type="dcterms:W3CDTF">2020-12-24T10:22:15Z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3082-3.0.0.4876</vt:lpwstr>
  </property>
</Properties>
</file>