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obqtpn79cirx" w:id="0"/>
      <w:bookmarkEnd w:id="0"/>
      <w:r w:rsidDel="00000000" w:rsidR="00000000" w:rsidRPr="00000000">
        <w:rPr>
          <w:rFonts w:ascii="Verdana" w:cs="Verdana" w:eastAsia="Verdana" w:hAnsi="Verdana"/>
          <w:b w:val="1"/>
          <w:color w:val="4a86e8"/>
          <w:sz w:val="20"/>
          <w:szCs w:val="20"/>
          <w:rtl w:val="0"/>
        </w:rPr>
        <w:t xml:space="preserve">Decreto por el que se reforma el diverso por el que se fomenta la regularización de vehículos usados de procedencia extranjera</w:t>
        <w:br w:type="textWrapping"/>
        <w:t xml:space="preserve">(DOF 29 de diciembre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inuufiraytae"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los artículos 27, 30 Bis, 31 y 34 de la Ley Orgánica de la Administración Pública Federal, 39, fracciones II y III, del Código Fiscal de la Federación; 19, fracción II, de la Ley Federal de Presupuesto y Responsabilidad Hacendaria, y 10, párrafo quinto, de la Ley de Ingresos de la Federación para el Ejercicio Fiscal de 2023, y</w:t>
      </w:r>
    </w:p>
    <w:p w:rsidR="00000000" w:rsidDel="00000000" w:rsidP="00000000" w:rsidRDefault="00000000" w:rsidRPr="00000000" w14:paraId="00000004">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de México está obligado a implementar y continuar con estrategias que mejoren el bienestar de la población, otorguen certeza jurídica, protejan el patrimonio familiar y garanticen la seguridad pública, como la regularización de vehículos usados de procedencia extranjera que no han tramitado su importación definitiva, es decir, no han acreditado su legal estancia en el país;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objeto de fomentar la regularización de vehículos usados de procedencia extranjera que se encuentren en los estados de Baja California, Baja California Sur, Chihuahua, Coahuila de Zaragoza, Durango, Hidalgo, Jalisco, Michoacán de Ocampo, Nayarit, Nuevo León, San Luis Potosí, Sinaloa, Sonora, Tamaulipas, Tlaxcala y Zacatecas, entidades federativas que tienen un alto índice de población migrante en Estados Unidos de América y Canadá, se publicaron en el Diario Oficial de la Federación (DOF) el "Acuerdo por el que se instruyen diversas acciones a las dependencias que se indican, en relación a la importación definitiva de vehículos usados" de 18 de octubre de 2021; el "Decreto por el que se fomenta la regularización de vehículos usados de procedencia extranjera" de 19 de enero de 2022, su fe de erratas de 21 de enero de 2022 y sus posteriores reformas de 27 de febrero, 20 de junio y 19 de septiembre, todas de 2022, vigente hasta el 31 de diciembre de ese año; así como el "Decreto por el que se fomenta la regularización de vehículos usados de procedencia extranjera", de 29 de diciembre de 2022 y sus posteriores modificaciones de 31 de marzo, 30 de junio, 29 de septiembre y 1 de diciembre, todas de 2023;</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citados decretos permitieron regularizar un aproximado de un millón novecientos dieciséis mil trescientos veintisiete vehículos, con lo cual, se otorgó certeza jurídica y protección al patrimonio de la ciudadanía y contribuyó a garantizar la seguridad pública, al contar con los medios para identificar a los propietarios de dichos vehículos para evitar que estos se ocupen en la comisión de actos ilícitos;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regularización de vehículos usados de procedencia extranjera se ha logrado recaudar un aproximado de cuatro mil setecientos noventa millones ochocientos diecisiete mil quinientos pesos, lo que ha permitido llevar a cabo acciones de obra pública en los municipios de las entidades federativas participantes, en beneficio de sus habitantes y vecinos de zonas cercanas;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 buena aceptación del programa y toda vez que continúa la demanda de personas que solicitan la regularización de vehículos de procedencia extranjera, se estima necesario ampliar la vigencia del decreto publicado en el DOF el 29 de diciembre de 2022 y sus posteriores modificaciones, por lo que he tenido a bien expedir el siguiente</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 el transitorio PRIMERO del "Decreto por el que se fomenta la regularización de vehículos usados de procedencia extranjera", publicado en el Diario Oficial de la Federación el 29 de diciembre de 2022 y sus posteriores modificaciones de 31 de marzo, 30 de junio, 29 de septiembre y 1 de diciembre, todas de 2023, para quedar como sigue:</w:t>
      </w:r>
    </w:p>
    <w:p w:rsidR="00000000" w:rsidDel="00000000" w:rsidP="00000000" w:rsidRDefault="00000000" w:rsidRPr="00000000" w14:paraId="0000000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decreto entrará en vigor a partir del 1 de enero y hasta el 31 de marzo de 2024.</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 a SEXTO ..."</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decreto entra en vigor el día de su publicación en el Diario Oficial de la Federación.</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Federal, en Ciudad de México a 27 de diciembre de 2023.-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La Secretaria de Gobernación,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 La Secretaria de Seguridad y Protección Ciudadana, </w:t>
      </w:r>
      <w:r w:rsidDel="00000000" w:rsidR="00000000" w:rsidRPr="00000000">
        <w:rPr>
          <w:rFonts w:ascii="Verdana" w:cs="Verdana" w:eastAsia="Verdana" w:hAnsi="Verdana"/>
          <w:b w:val="1"/>
          <w:color w:val="2f2f2f"/>
          <w:sz w:val="20"/>
          <w:szCs w:val="20"/>
          <w:rtl w:val="0"/>
        </w:rPr>
        <w:t xml:space="preserve">Rosa Icela Rodríguez Velázquez</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Rogelio Eduardo Ramírez de la O</w:t>
      </w:r>
      <w:r w:rsidDel="00000000" w:rsidR="00000000" w:rsidRPr="00000000">
        <w:rPr>
          <w:rFonts w:ascii="Verdana" w:cs="Verdana" w:eastAsia="Verdana" w:hAnsi="Verdana"/>
          <w:color w:val="2f2f2f"/>
          <w:sz w:val="20"/>
          <w:szCs w:val="20"/>
          <w:rtl w:val="0"/>
        </w:rPr>
        <w:t xml:space="preserve">.- Rúbrica.-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