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500-05-2020-7866 mediante el cual 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marzo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both"/>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Administración General de Auditoría Fiscal Federal.- Administración Central de Fiscalización Estratégica.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Número: 500-05-2020-7866</w:t>
      </w:r>
    </w:p>
    <w:p w:rsidR="00000000" w:rsidDel="00000000" w:rsidP="00000000" w:rsidRDefault="00000000" w:rsidRPr="00000000" w14:paraId="00000006">
      <w:pPr>
        <w:shd w:fill="ffffff" w:val="clear"/>
        <w:spacing w:after="100" w:lineRule="auto"/>
        <w:ind w:left="2040" w:right="3520" w:hanging="88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 presunción de contribuyentes que se ubicaron en el supuesto previsto en el artículo 69-B, párrafo primero del Código Fiscal de la Federación vigente hasta el 24 de julio de 2018.</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 adscrita a la Administración General de Auditoría Fiscal Federal del Servicio de Administración Tributaria, con fundamento en lo dispuesto por los artículos 16,</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22 párrafos primero, fracción VIII</w:t>
      </w:r>
      <w:r w:rsidDel="00000000" w:rsidR="00000000" w:rsidRPr="00000000">
        <w:rPr>
          <w:sz w:val="18"/>
          <w:szCs w:val="18"/>
          <w:rtl w:val="0"/>
        </w:rPr>
        <w:t xml:space="preserve">, </w:t>
      </w:r>
      <w:r w:rsidDel="00000000" w:rsidR="00000000" w:rsidRPr="00000000">
        <w:rPr>
          <w:color w:val="2f2f2f"/>
          <w:sz w:val="18"/>
          <w:szCs w:val="18"/>
          <w:rtl w:val="0"/>
        </w:rPr>
        <w:t xml:space="preserve">y</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00fff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del Código Fiscal de la Federación vigente y 69-B, párrafos primero y segundo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notifica lo siguiente:</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vigente hasta el 24 de julio de 2018,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las autoridades ya referidas ubicaron a los contribuyentes en el supuesto de presunción previsto en el primer párrafo del artículo 69-B del Código Fiscal de la Federación vigente hasta el 24 de julio de 2018, por lo que en tal sentido le notificaron a cada uno de ellos el oficio individual de presunción, en el cual se pormenorizó los hechos particulares por los cuales se consideró procedente la referida presunción.</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razón de lo anterior, y en apoyo a las autoridades emisoras de los oficios de presunción ya señalados, con fundamento en el segundo párrafo del artículo 69-B del Código Fiscal de la Federación vigente hasta el 24 de julio de 2018, se informa a los contribuyentes mencionados en el citado Anexo 1 del presente oficio, que se encuentran en el supuesto previsto en el primer párrafo del artículo 69-B del Código Fiscal de la Federación vigente hasta el 24 de julio de 2018,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Entonces, se indica que de conformidad con lo dispuesto por el artículo 69-B, segundo párrafo,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a fin de que presenten ante las oficinas de las autoridades emisoras del oficio individual ubicadas en el domicilio señalado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documentación e información que presenten a través del citado escrito deberá de cumplir con los requisitos establecidos en los artículos 18, 18-A y 19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tercer párrafo del artículo 69-B del Código Fiscal de la Federación vigente hasta el 24 de julio de 2018, en relación con el Artículo Segundo Transitorio del </w:t>
      </w:r>
      <w:r w:rsidDel="00000000" w:rsidR="00000000" w:rsidRPr="00000000">
        <w:rPr>
          <w:i w:val="1"/>
          <w:color w:val="2f2f2f"/>
          <w:sz w:val="18"/>
          <w:szCs w:val="18"/>
          <w:rtl w:val="0"/>
        </w:rPr>
        <w:t xml:space="preserve">"DECRETO por el que se reforma el artículo 69-B del Código Fiscal de la Federación",</w:t>
      </w:r>
      <w:r w:rsidDel="00000000" w:rsidR="00000000" w:rsidRPr="00000000">
        <w:rPr>
          <w:color w:val="2f2f2f"/>
          <w:sz w:val="18"/>
          <w:szCs w:val="18"/>
          <w:rtl w:val="0"/>
        </w:rPr>
        <w:t xml:space="preserve"> publicado en el Diario Oficial de la Federación el 25 de junio de 2018,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antes referido,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10 de marzo de 2020.- El Administrador Central de Fiscalización Estratégica, </w:t>
      </w:r>
      <w:r w:rsidDel="00000000" w:rsidR="00000000" w:rsidRPr="00000000">
        <w:rPr>
          <w:b w:val="1"/>
          <w:color w:val="2f2f2f"/>
          <w:sz w:val="18"/>
          <w:szCs w:val="18"/>
          <w:rtl w:val="0"/>
        </w:rPr>
        <w:t xml:space="preserve">José Alfredo Pérez Astorga</w:t>
      </w:r>
      <w:r w:rsidDel="00000000" w:rsidR="00000000" w:rsidRPr="00000000">
        <w:rPr>
          <w:color w:val="2f2f2f"/>
          <w:sz w:val="18"/>
          <w:szCs w:val="18"/>
          <w:rtl w:val="0"/>
        </w:rPr>
        <w:t xml:space="preserve">.- Rúbrica.</w:t>
      </w:r>
    </w:p>
    <w:p w:rsidR="00000000" w:rsidDel="00000000" w:rsidP="00000000" w:rsidRDefault="00000000" w:rsidRPr="00000000" w14:paraId="00000011">
      <w:pPr>
        <w:shd w:fill="ffffff" w:val="clear"/>
        <w:spacing w:after="100" w:lineRule="auto"/>
        <w:ind w:left="1880" w:hanging="800"/>
        <w:jc w:val="both"/>
        <w:rPr>
          <w:color w:val="2f2f2f"/>
          <w:sz w:val="18"/>
          <w:szCs w:val="18"/>
        </w:rPr>
      </w:pPr>
      <w:r w:rsidDel="00000000" w:rsidR="00000000" w:rsidRPr="00000000">
        <w:rPr>
          <w:b w:val="1"/>
          <w:color w:val="2f2f2f"/>
          <w:sz w:val="18"/>
          <w:szCs w:val="18"/>
          <w:rtl w:val="0"/>
        </w:rPr>
        <w:t xml:space="preserve">Asunto: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w:t>
      </w:r>
      <w:r w:rsidDel="00000000" w:rsidR="00000000" w:rsidRPr="00000000">
        <w:rPr>
          <w:b w:val="1"/>
          <w:color w:val="2f2f2f"/>
          <w:sz w:val="18"/>
          <w:szCs w:val="18"/>
          <w:rtl w:val="0"/>
        </w:rPr>
        <w:t xml:space="preserve"> 500-05-2020-7866 de fecha 10 de marzo de 2020</w:t>
      </w:r>
      <w:r w:rsidDel="00000000" w:rsidR="00000000" w:rsidRPr="00000000">
        <w:rPr>
          <w:color w:val="2f2f2f"/>
          <w:sz w:val="18"/>
          <w:szCs w:val="18"/>
          <w:rtl w:val="0"/>
        </w:rPr>
        <w:t xml:space="preserve"> en el que se notifica, de conformidad con el segundo párrafo del artículo 69-B del Código Fiscal de la Federación, que los contribuyentes mencionados en el presente Anexo se ubican en el supuesto previsto en el primer párrafo del citado precepto legal.</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enlistan los contribuyentes a los que se hace referencia en el oficio número </w:t>
      </w:r>
      <w:r w:rsidDel="00000000" w:rsidR="00000000" w:rsidRPr="00000000">
        <w:rPr>
          <w:b w:val="1"/>
          <w:color w:val="2f2f2f"/>
          <w:sz w:val="18"/>
          <w:szCs w:val="18"/>
          <w:rtl w:val="0"/>
        </w:rPr>
        <w:t xml:space="preserve">500-05-2020-7866 de fecha 10 de marzo de 2020</w:t>
      </w:r>
      <w:r w:rsidDel="00000000" w:rsidR="00000000" w:rsidRPr="00000000">
        <w:rPr>
          <w:color w:val="2f2f2f"/>
          <w:sz w:val="18"/>
          <w:szCs w:val="18"/>
          <w:rtl w:val="0"/>
        </w:rPr>
        <w:t xml:space="preserve">, emitido por el C.P. José Alfredo Pérez Astorga, Administrador Central de Fiscalización Estratégica, de la Administración General de Auditoría Fiscal Federal.</w:t>
      </w:r>
    </w:p>
    <w:tbl>
      <w:tblPr>
        <w:tblStyle w:val="Table1"/>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8.5409252669039"/>
        <w:gridCol w:w="465.9608540925267"/>
        <w:gridCol w:w="6186.032028469752"/>
        <w:gridCol w:w="731.076512455516"/>
        <w:gridCol w:w="666.8060498220641"/>
        <w:gridCol w:w="851.5836298932385"/>
        <w:tblGridChange w:id="0">
          <w:tblGrid>
            <w:gridCol w:w="128.5409252669039"/>
            <w:gridCol w:w="465.9608540925267"/>
            <w:gridCol w:w="6186.032028469752"/>
            <w:gridCol w:w="731.076512455516"/>
            <w:gridCol w:w="666.8060498220641"/>
            <w:gridCol w:w="851.5836298932385"/>
          </w:tblGrid>
        </w:tblGridChange>
      </w:tblGrid>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3">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4">
            <w:pPr>
              <w:spacing w:after="10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5">
            <w:pPr>
              <w:spacing w:after="10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6">
            <w:pPr>
              <w:spacing w:after="100" w:lineRule="auto"/>
              <w:ind w:left="80" w:firstLine="0"/>
              <w:jc w:val="center"/>
              <w:rPr>
                <w:b w:val="1"/>
                <w:sz w:val="10"/>
                <w:szCs w:val="10"/>
              </w:rPr>
            </w:pPr>
            <w:r w:rsidDel="00000000" w:rsidR="00000000" w:rsidRPr="00000000">
              <w:rPr>
                <w:b w:val="1"/>
                <w:sz w:val="10"/>
                <w:szCs w:val="10"/>
                <w:rtl w:val="0"/>
              </w:rPr>
              <w:t xml:space="preserve">NO. Y FECHA DEL</w:t>
            </w:r>
          </w:p>
          <w:p w:rsidR="00000000" w:rsidDel="00000000" w:rsidP="00000000" w:rsidRDefault="00000000" w:rsidRPr="00000000" w14:paraId="00000017">
            <w:pPr>
              <w:spacing w:after="100" w:lineRule="auto"/>
              <w:ind w:left="80" w:firstLine="0"/>
              <w:jc w:val="center"/>
              <w:rPr>
                <w:b w:val="1"/>
                <w:sz w:val="10"/>
                <w:szCs w:val="10"/>
              </w:rPr>
            </w:pPr>
            <w:r w:rsidDel="00000000" w:rsidR="00000000" w:rsidRPr="00000000">
              <w:rPr>
                <w:b w:val="1"/>
                <w:sz w:val="10"/>
                <w:szCs w:val="10"/>
                <w:rtl w:val="0"/>
              </w:rPr>
              <w:t xml:space="preserve">OFICIO DE 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019">
            <w:pPr>
              <w:spacing w:after="100" w:lineRule="auto"/>
              <w:ind w:left="80" w:firstLine="0"/>
              <w:jc w:val="center"/>
              <w:rPr>
                <w:b w:val="1"/>
                <w:sz w:val="10"/>
                <w:szCs w:val="10"/>
              </w:rPr>
            </w:pPr>
            <w:r w:rsidDel="00000000" w:rsidR="00000000" w:rsidRPr="00000000">
              <w:rPr>
                <w:b w:val="1"/>
                <w:sz w:val="10"/>
                <w:szCs w:val="10"/>
                <w:rtl w:val="0"/>
              </w:rPr>
              <w:t xml:space="preserve">DEL OFICIO DE</w:t>
            </w:r>
          </w:p>
          <w:p w:rsidR="00000000" w:rsidDel="00000000" w:rsidP="00000000" w:rsidRDefault="00000000" w:rsidRPr="00000000" w14:paraId="0000001A">
            <w:pPr>
              <w:spacing w:after="10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b w:val="1"/>
                <w:sz w:val="10"/>
                <w:szCs w:val="10"/>
              </w:rPr>
            </w:pPr>
            <w:r w:rsidDel="00000000" w:rsidR="00000000" w:rsidRPr="00000000">
              <w:rPr>
                <w:b w:val="1"/>
                <w:sz w:val="10"/>
                <w:szCs w:val="10"/>
                <w:rtl w:val="0"/>
              </w:rPr>
              <w:t xml:space="preserve">FECHA DE NOTIFICACIÓN</w:t>
            </w:r>
          </w:p>
          <w:p w:rsidR="00000000" w:rsidDel="00000000" w:rsidP="00000000" w:rsidRDefault="00000000" w:rsidRPr="00000000" w14:paraId="0000001C">
            <w:pPr>
              <w:spacing w:after="100" w:lineRule="auto"/>
              <w:ind w:left="80" w:firstLine="0"/>
              <w:jc w:val="center"/>
              <w:rPr>
                <w:b w:val="1"/>
                <w:sz w:val="10"/>
                <w:szCs w:val="10"/>
              </w:rPr>
            </w:pPr>
            <w:r w:rsidDel="00000000" w:rsidR="00000000" w:rsidRPr="00000000">
              <w:rPr>
                <w:b w:val="1"/>
                <w:sz w:val="10"/>
                <w:szCs w:val="10"/>
                <w:rtl w:val="0"/>
              </w:rPr>
              <w:t xml:space="preserve">DEL OFICIO DE PRESUNCIÓN</w:t>
            </w:r>
          </w:p>
        </w:tc>
      </w:tr>
      <w:tr>
        <w:trPr>
          <w:trHeight w:val="20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10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0"/>
                <w:szCs w:val="10"/>
              </w:rPr>
            </w:pPr>
            <w:r w:rsidDel="00000000" w:rsidR="00000000" w:rsidRPr="00000000">
              <w:rPr>
                <w:sz w:val="10"/>
                <w:szCs w:val="10"/>
                <w:rtl w:val="0"/>
              </w:rPr>
              <w:t xml:space="preserve">AAS110331G59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0"/>
                <w:szCs w:val="10"/>
              </w:rPr>
            </w:pPr>
            <w:r w:rsidDel="00000000" w:rsidR="00000000" w:rsidRPr="00000000">
              <w:rPr>
                <w:sz w:val="10"/>
                <w:szCs w:val="10"/>
                <w:rtl w:val="0"/>
              </w:rPr>
              <w:t xml:space="preserve">ABIRA &amp; SAFFI CORPORATIVO, S. DE R.L. DE C.V. // En cumplimiento a la sentencia del 7 de octubre de 2019, dictada por la Sala Regional del Centro II, del Tribunal Federal de Justicia Administrativa, en el Juicio de Nulidad dentro del expediente 519/19-09-01-8-OT.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rPr>
                <w:sz w:val="10"/>
                <w:szCs w:val="10"/>
              </w:rPr>
            </w:pPr>
            <w:r w:rsidDel="00000000" w:rsidR="00000000" w:rsidRPr="00000000">
              <w:rPr>
                <w:sz w:val="10"/>
                <w:szCs w:val="10"/>
                <w:rtl w:val="0"/>
              </w:rPr>
              <w:t xml:space="preserve">500-47-00-02-06-2017-</w:t>
            </w:r>
          </w:p>
          <w:p w:rsidR="00000000" w:rsidDel="00000000" w:rsidP="00000000" w:rsidRDefault="00000000" w:rsidRPr="00000000" w14:paraId="00000021">
            <w:pPr>
              <w:spacing w:after="100" w:lineRule="auto"/>
              <w:ind w:left="80" w:firstLine="0"/>
              <w:rPr>
                <w:sz w:val="10"/>
                <w:szCs w:val="10"/>
              </w:rPr>
            </w:pPr>
            <w:r w:rsidDel="00000000" w:rsidR="00000000" w:rsidRPr="00000000">
              <w:rPr>
                <w:sz w:val="10"/>
                <w:szCs w:val="10"/>
                <w:rtl w:val="0"/>
              </w:rPr>
              <w:t xml:space="preserve">009534 de fecha 24 de</w:t>
            </w:r>
          </w:p>
          <w:p w:rsidR="00000000" w:rsidDel="00000000" w:rsidP="00000000" w:rsidRDefault="00000000" w:rsidRPr="00000000" w14:paraId="00000022">
            <w:pPr>
              <w:spacing w:after="100" w:lineRule="auto"/>
              <w:ind w:left="80" w:firstLine="0"/>
              <w:rPr>
                <w:sz w:val="10"/>
                <w:szCs w:val="10"/>
              </w:rPr>
            </w:pPr>
            <w:r w:rsidDel="00000000" w:rsidR="00000000" w:rsidRPr="00000000">
              <w:rPr>
                <w:sz w:val="10"/>
                <w:szCs w:val="10"/>
                <w:rtl w:val="0"/>
              </w:rPr>
              <w:t xml:space="preserve">abril de 2017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24">
            <w:pPr>
              <w:spacing w:after="100" w:lineRule="auto"/>
              <w:ind w:left="80" w:firstLine="0"/>
              <w:rPr>
                <w:sz w:val="10"/>
                <w:szCs w:val="10"/>
              </w:rPr>
            </w:pPr>
            <w:r w:rsidDel="00000000" w:rsidR="00000000" w:rsidRPr="00000000">
              <w:rPr>
                <w:sz w:val="10"/>
                <w:szCs w:val="10"/>
                <w:rtl w:val="0"/>
              </w:rPr>
              <w:t xml:space="preserve">Desconcentrada de</w:t>
            </w:r>
          </w:p>
          <w:p w:rsidR="00000000" w:rsidDel="00000000" w:rsidP="00000000" w:rsidRDefault="00000000" w:rsidRPr="00000000" w14:paraId="00000025">
            <w:pPr>
              <w:spacing w:after="100" w:lineRule="auto"/>
              <w:ind w:left="80" w:firstLine="0"/>
              <w:rPr>
                <w:sz w:val="10"/>
                <w:szCs w:val="10"/>
              </w:rPr>
            </w:pPr>
            <w:r w:rsidDel="00000000" w:rsidR="00000000" w:rsidRPr="00000000">
              <w:rPr>
                <w:sz w:val="10"/>
                <w:szCs w:val="10"/>
                <w:rtl w:val="0"/>
              </w:rPr>
              <w:t xml:space="preserve">Auditoría Fiscal de</w:t>
            </w:r>
          </w:p>
          <w:p w:rsidR="00000000" w:rsidDel="00000000" w:rsidP="00000000" w:rsidRDefault="00000000" w:rsidRPr="00000000" w14:paraId="00000026">
            <w:pPr>
              <w:spacing w:after="100" w:lineRule="auto"/>
              <w:ind w:left="80" w:firstLine="0"/>
              <w:rPr>
                <w:sz w:val="10"/>
                <w:szCs w:val="10"/>
              </w:rPr>
            </w:pPr>
            <w:r w:rsidDel="00000000" w:rsidR="00000000" w:rsidRPr="00000000">
              <w:rPr>
                <w:sz w:val="10"/>
                <w:szCs w:val="10"/>
                <w:rtl w:val="0"/>
              </w:rPr>
              <w:t xml:space="preserve">Querétaro "1"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rPr>
                <w:sz w:val="10"/>
                <w:szCs w:val="10"/>
              </w:rPr>
            </w:pPr>
            <w:r w:rsidDel="00000000" w:rsidR="00000000" w:rsidRPr="00000000">
              <w:rPr>
                <w:sz w:val="10"/>
                <w:szCs w:val="10"/>
                <w:rtl w:val="0"/>
              </w:rPr>
              <w:t xml:space="preserve">30 de enero de 2020</w:t>
            </w:r>
          </w:p>
        </w:tc>
      </w:tr>
    </w:tbl>
    <w:p w:rsidR="00000000" w:rsidDel="00000000" w:rsidP="00000000" w:rsidRDefault="00000000" w:rsidRPr="00000000" w14:paraId="00000028">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w:t>
      </w:r>
    </w:p>
    <w:p w:rsidR="00000000" w:rsidDel="00000000" w:rsidP="00000000" w:rsidRDefault="00000000" w:rsidRPr="00000000" w14:paraId="00000029">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