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Información relativa a los saldos y productos financieros del Fondo para la administración de los recursos provenientes de sentencias que deriven de las Acciones Colectivas Difusas, que se proporciona en cumplimiento de la obligación establecida en el artículo 34 del Acuerdo General del Pleno del Consejo de la Judicatura Federal, que reforma el similar que crea el Fondo para la administración de los recursos provenientes de sentencias que deriven de las Acciones Colectivas Difusas, a que se refiere el artículo 624 del Código Federal de Procedimientos Civiles.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enero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Técnica del Fondo para la administración de los recursos provenientes de sentencias que deriven de las Acciones Colectivas Difusas.- Comité Técnico del Fondo para la administración de los recursos provenientes de sentencias que deriven de las Acciones Colectivas Difusas.</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INFORMACIÓN RELATIVA A LOS SALDOS Y PRODUCTOS FINANCIEROS DEL FONDO PARA LA ADMINISTRACIÓN DE LOS RECURSOS PROVENIENTES DE SENTENCIAS QUE DERIVEN DE LAS ACCIONES COLECTIVAS DIFUSAS, QUE SE PROPORCIONA EN CUMPLIMIENTO DE LA OBLIGACIÓN ESTABLECIDA EN EL ARTÍCULO 34 DEL ACUERDO GENERAL DEL PLENO DEL CONSEJO DE LA JUDICATURA FEDERAL, QUE REFORMA EL SIMILAR QUE CREA EL FONDO PARA LA ADMINISTRACIÓN DE LOS RECURSOS PROVENIENTES DE SENTENCIAS QUE DERIVEN DE LAS ACCIONES COLECTIVAS DIFUSAS, A QUE SE REFIERE EL ARTÍCULO 624 DEL CÓDIGO FEDERAL DE PROCEDIMIENTOS CIVILES.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10 de marzo de 2017, se publicó en el Diario Oficial de la Federación el Acuerdo General del Pleno del Consejo de la Judicatura Federal, que reforma el similar que crea el Fondo para la administración de los recursos provenientes de sentencias que deriven de las Acciones Colectivas Difusas, a que se refiere el artículo 624 del Código Federal de Procedimientos Civiles, mismo que entró en vigor a los tres días siguientes al de su publicación.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artículo 34 del Acuerdo General en cita, textualmente prescribe: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"Artículo 34.- TRANSPARENCIA Y RENDICIÓN DE CUENTAS DEL FONDO. El Comité Técnico enviará en forma trimestral a la entidad de fiscalización superior de la Federación, el informe correspondiente al ejercicio de los recursos que integran el patrimonio del Fondo y en forma anual en términos del artículo 626 del Código. La publicación trimestral se realizará a través del Consejo de la Judicatura Federal, previa aprobación que haga la Dirección General de Auditoría de los saldos y productos financieros acumulados en el Fondo. Lo anterior se informará al Comité Técnico y se difundirá a través de la página de Internet del Consejo."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acuerdo con el precepto invocado en el último párrafo del punto anterior, el Consejo de la Judicatura Federal, fungiendo como Comité Técnico del Fondo, presenta la siguiente información:</w:t>
      </w:r>
    </w:p>
    <w:p w:rsidR="00000000" w:rsidDel="00000000" w:rsidP="00000000" w:rsidRDefault="00000000" w:rsidRPr="00000000" w14:paraId="0000000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INFORME CORRESPONDIENTE AL EJERCICIO DE LOS RECURSOS QUE INTEGRAN EL PATRIMONIO DEL FONDO PARA LA ADMINISTRACIÓN DE LOS RECURSOS PROVENIENTES DE SENTENCIAS QUE DERIVEN DE LAS ACCIONES COLECTIVAS DIFUSAS DEL PERIODO OCTUBRE A DICIEMBRE DE 2020.</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90"/>
        <w:gridCol w:w="1905"/>
        <w:gridCol w:w="1860"/>
        <w:gridCol w:w="1845"/>
        <w:gridCol w:w="1590"/>
        <w:tblGridChange w:id="0">
          <w:tblGrid>
            <w:gridCol w:w="1590"/>
            <w:gridCol w:w="1905"/>
            <w:gridCol w:w="1860"/>
            <w:gridCol w:w="1845"/>
            <w:gridCol w:w="1590"/>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0D">
            <w:pPr>
              <w:spacing w:after="40" w:before="40" w:lineRule="auto"/>
              <w:ind w:left="80" w:firstLine="0"/>
              <w:jc w:val="center"/>
              <w:rPr>
                <w:sz w:val="16"/>
                <w:szCs w:val="16"/>
              </w:rPr>
            </w:pPr>
            <w:r w:rsidDel="00000000" w:rsidR="00000000" w:rsidRPr="00000000">
              <w:rPr>
                <w:sz w:val="16"/>
                <w:szCs w:val="16"/>
                <w:rtl w:val="0"/>
              </w:rPr>
              <w:t xml:space="preserve">Saldo patrimonial</w:t>
            </w:r>
          </w:p>
          <w:p w:rsidR="00000000" w:rsidDel="00000000" w:rsidP="00000000" w:rsidRDefault="00000000" w:rsidRPr="00000000" w14:paraId="0000000E">
            <w:pPr>
              <w:spacing w:after="40" w:before="40" w:lineRule="auto"/>
              <w:ind w:left="80" w:firstLine="0"/>
              <w:jc w:val="center"/>
              <w:rPr>
                <w:sz w:val="16"/>
                <w:szCs w:val="16"/>
              </w:rPr>
            </w:pPr>
            <w:r w:rsidDel="00000000" w:rsidR="00000000" w:rsidRPr="00000000">
              <w:rPr>
                <w:sz w:val="16"/>
                <w:szCs w:val="16"/>
                <w:rtl w:val="0"/>
              </w:rPr>
              <w:t xml:space="preserve">al 30 de</w:t>
            </w:r>
          </w:p>
          <w:p w:rsidR="00000000" w:rsidDel="00000000" w:rsidP="00000000" w:rsidRDefault="00000000" w:rsidRPr="00000000" w14:paraId="0000000F">
            <w:pPr>
              <w:spacing w:after="40" w:before="40" w:lineRule="auto"/>
              <w:ind w:left="80" w:firstLine="0"/>
              <w:jc w:val="center"/>
              <w:rPr>
                <w:sz w:val="16"/>
                <w:szCs w:val="16"/>
              </w:rPr>
            </w:pPr>
            <w:r w:rsidDel="00000000" w:rsidR="00000000" w:rsidRPr="00000000">
              <w:rPr>
                <w:sz w:val="16"/>
                <w:szCs w:val="16"/>
                <w:rtl w:val="0"/>
              </w:rPr>
              <w:t xml:space="preserve">septiembre de</w:t>
            </w:r>
          </w:p>
          <w:p w:rsidR="00000000" w:rsidDel="00000000" w:rsidP="00000000" w:rsidRDefault="00000000" w:rsidRPr="00000000" w14:paraId="00000010">
            <w:pPr>
              <w:spacing w:after="40" w:before="40" w:lineRule="auto"/>
              <w:ind w:left="80" w:firstLine="0"/>
              <w:jc w:val="center"/>
              <w:rPr>
                <w:sz w:val="16"/>
                <w:szCs w:val="16"/>
              </w:rPr>
            </w:pPr>
            <w:r w:rsidDel="00000000" w:rsidR="00000000" w:rsidRPr="00000000">
              <w:rPr>
                <w:sz w:val="16"/>
                <w:szCs w:val="16"/>
                <w:rtl w:val="0"/>
              </w:rPr>
              <w:t xml:space="preserve">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1">
            <w:pPr>
              <w:spacing w:after="40" w:before="40" w:lineRule="auto"/>
              <w:ind w:left="80" w:firstLine="0"/>
              <w:jc w:val="center"/>
              <w:rPr>
                <w:sz w:val="16"/>
                <w:szCs w:val="16"/>
              </w:rPr>
            </w:pPr>
            <w:r w:rsidDel="00000000" w:rsidR="00000000" w:rsidRPr="00000000">
              <w:rPr>
                <w:sz w:val="16"/>
                <w:szCs w:val="16"/>
                <w:rtl w:val="0"/>
              </w:rPr>
              <w:t xml:space="preserve">1) Ingresos octubre-</w:t>
            </w:r>
          </w:p>
          <w:p w:rsidR="00000000" w:rsidDel="00000000" w:rsidP="00000000" w:rsidRDefault="00000000" w:rsidRPr="00000000" w14:paraId="00000012">
            <w:pPr>
              <w:spacing w:after="40" w:before="40" w:lineRule="auto"/>
              <w:ind w:left="80" w:firstLine="0"/>
              <w:jc w:val="center"/>
              <w:rPr>
                <w:sz w:val="16"/>
                <w:szCs w:val="16"/>
              </w:rPr>
            </w:pPr>
            <w:r w:rsidDel="00000000" w:rsidR="00000000" w:rsidRPr="00000000">
              <w:rPr>
                <w:sz w:val="16"/>
                <w:szCs w:val="16"/>
                <w:rtl w:val="0"/>
              </w:rPr>
              <w:t xml:space="preserve">diciembre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3">
            <w:pPr>
              <w:spacing w:after="40" w:before="40" w:lineRule="auto"/>
              <w:ind w:left="80" w:firstLine="0"/>
              <w:jc w:val="center"/>
              <w:rPr>
                <w:sz w:val="16"/>
                <w:szCs w:val="16"/>
              </w:rPr>
            </w:pPr>
            <w:r w:rsidDel="00000000" w:rsidR="00000000" w:rsidRPr="00000000">
              <w:rPr>
                <w:sz w:val="16"/>
                <w:szCs w:val="16"/>
                <w:rtl w:val="0"/>
              </w:rPr>
              <w:t xml:space="preserve">Intereses octubre-</w:t>
            </w:r>
          </w:p>
          <w:p w:rsidR="00000000" w:rsidDel="00000000" w:rsidP="00000000" w:rsidRDefault="00000000" w:rsidRPr="00000000" w14:paraId="00000014">
            <w:pPr>
              <w:spacing w:after="40" w:before="40" w:lineRule="auto"/>
              <w:ind w:left="80" w:firstLine="0"/>
              <w:jc w:val="center"/>
              <w:rPr>
                <w:sz w:val="16"/>
                <w:szCs w:val="16"/>
              </w:rPr>
            </w:pPr>
            <w:r w:rsidDel="00000000" w:rsidR="00000000" w:rsidRPr="00000000">
              <w:rPr>
                <w:sz w:val="16"/>
                <w:szCs w:val="16"/>
                <w:rtl w:val="0"/>
              </w:rPr>
              <w:t xml:space="preserve">diciembre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5">
            <w:pPr>
              <w:spacing w:after="40" w:before="40" w:lineRule="auto"/>
              <w:ind w:left="80" w:firstLine="0"/>
              <w:jc w:val="center"/>
              <w:rPr>
                <w:sz w:val="16"/>
                <w:szCs w:val="16"/>
              </w:rPr>
            </w:pPr>
            <w:r w:rsidDel="00000000" w:rsidR="00000000" w:rsidRPr="00000000">
              <w:rPr>
                <w:sz w:val="16"/>
                <w:szCs w:val="16"/>
                <w:rtl w:val="0"/>
              </w:rPr>
              <w:t xml:space="preserve">Egresos octubre-</w:t>
            </w:r>
          </w:p>
          <w:p w:rsidR="00000000" w:rsidDel="00000000" w:rsidP="00000000" w:rsidRDefault="00000000" w:rsidRPr="00000000" w14:paraId="00000016">
            <w:pPr>
              <w:spacing w:after="40" w:before="40" w:lineRule="auto"/>
              <w:ind w:left="80" w:firstLine="0"/>
              <w:jc w:val="center"/>
              <w:rPr>
                <w:sz w:val="16"/>
                <w:szCs w:val="16"/>
              </w:rPr>
            </w:pPr>
            <w:r w:rsidDel="00000000" w:rsidR="00000000" w:rsidRPr="00000000">
              <w:rPr>
                <w:sz w:val="16"/>
                <w:szCs w:val="16"/>
                <w:rtl w:val="0"/>
              </w:rPr>
              <w:t xml:space="preserve">diciembre 2020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40" w:before="40" w:lineRule="auto"/>
              <w:ind w:left="80" w:firstLine="0"/>
              <w:jc w:val="center"/>
              <w:rPr>
                <w:sz w:val="16"/>
                <w:szCs w:val="16"/>
              </w:rPr>
            </w:pPr>
            <w:r w:rsidDel="00000000" w:rsidR="00000000" w:rsidRPr="00000000">
              <w:rPr>
                <w:sz w:val="16"/>
                <w:szCs w:val="16"/>
                <w:rtl w:val="0"/>
              </w:rPr>
              <w:t xml:space="preserve">Saldo patrimonial</w:t>
            </w:r>
          </w:p>
          <w:p w:rsidR="00000000" w:rsidDel="00000000" w:rsidP="00000000" w:rsidRDefault="00000000" w:rsidRPr="00000000" w14:paraId="00000018">
            <w:pPr>
              <w:spacing w:after="40" w:before="40" w:lineRule="auto"/>
              <w:ind w:left="80" w:firstLine="0"/>
              <w:jc w:val="center"/>
              <w:rPr>
                <w:sz w:val="16"/>
                <w:szCs w:val="16"/>
              </w:rPr>
            </w:pPr>
            <w:r w:rsidDel="00000000" w:rsidR="00000000" w:rsidRPr="00000000">
              <w:rPr>
                <w:sz w:val="16"/>
                <w:szCs w:val="16"/>
                <w:rtl w:val="0"/>
              </w:rPr>
              <w:t xml:space="preserve">al 31 de diciembre</w:t>
            </w:r>
          </w:p>
          <w:p w:rsidR="00000000" w:rsidDel="00000000" w:rsidP="00000000" w:rsidRDefault="00000000" w:rsidRPr="00000000" w14:paraId="00000019">
            <w:pPr>
              <w:spacing w:after="40" w:before="40" w:lineRule="auto"/>
              <w:ind w:left="80" w:firstLine="0"/>
              <w:jc w:val="center"/>
              <w:rPr>
                <w:sz w:val="16"/>
                <w:szCs w:val="16"/>
              </w:rPr>
            </w:pPr>
            <w:r w:rsidDel="00000000" w:rsidR="00000000" w:rsidRPr="00000000">
              <w:rPr>
                <w:sz w:val="16"/>
                <w:szCs w:val="16"/>
                <w:rtl w:val="0"/>
              </w:rPr>
              <w:t xml:space="preserve">de 2020</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40" w:before="40" w:lineRule="auto"/>
              <w:ind w:left="80" w:firstLine="0"/>
              <w:jc w:val="center"/>
              <w:rPr>
                <w:b w:val="1"/>
                <w:sz w:val="16"/>
                <w:szCs w:val="16"/>
              </w:rPr>
            </w:pPr>
            <w:r w:rsidDel="00000000" w:rsidR="00000000" w:rsidRPr="00000000">
              <w:rPr>
                <w:b w:val="1"/>
                <w:sz w:val="16"/>
                <w:szCs w:val="16"/>
                <w:rtl w:val="0"/>
              </w:rPr>
              <w:t xml:space="preserve">$1.01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before="40" w:lineRule="auto"/>
              <w:ind w:left="80" w:firstLine="0"/>
              <w:jc w:val="center"/>
              <w:rPr>
                <w:b w:val="1"/>
                <w:sz w:val="16"/>
                <w:szCs w:val="16"/>
              </w:rPr>
            </w:pPr>
            <w:r w:rsidDel="00000000" w:rsidR="00000000" w:rsidRPr="00000000">
              <w:rPr>
                <w:b w:val="1"/>
                <w:sz w:val="16"/>
                <w:szCs w:val="16"/>
                <w:rtl w:val="0"/>
              </w:rPr>
              <w:t xml:space="preserve">$0.00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before="40" w:lineRule="auto"/>
              <w:ind w:left="80" w:firstLine="0"/>
              <w:jc w:val="center"/>
              <w:rPr>
                <w:b w:val="1"/>
                <w:sz w:val="16"/>
                <w:szCs w:val="16"/>
              </w:rPr>
            </w:pPr>
            <w:r w:rsidDel="00000000" w:rsidR="00000000" w:rsidRPr="00000000">
              <w:rPr>
                <w:b w:val="1"/>
                <w:sz w:val="16"/>
                <w:szCs w:val="16"/>
                <w:rtl w:val="0"/>
              </w:rPr>
              <w:t xml:space="preserve">$0.00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before="40" w:lineRule="auto"/>
              <w:ind w:left="80" w:firstLine="0"/>
              <w:jc w:val="center"/>
              <w:rPr>
                <w:b w:val="1"/>
                <w:sz w:val="16"/>
                <w:szCs w:val="16"/>
              </w:rPr>
            </w:pPr>
            <w:r w:rsidDel="00000000" w:rsidR="00000000" w:rsidRPr="00000000">
              <w:rPr>
                <w:b w:val="1"/>
                <w:sz w:val="16"/>
                <w:szCs w:val="16"/>
                <w:rtl w:val="0"/>
              </w:rPr>
              <w:t xml:space="preserve">$0.00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before="40" w:lineRule="auto"/>
              <w:ind w:left="80" w:firstLine="0"/>
              <w:jc w:val="center"/>
              <w:rPr>
                <w:b w:val="1"/>
                <w:sz w:val="16"/>
                <w:szCs w:val="16"/>
              </w:rPr>
            </w:pPr>
            <w:r w:rsidDel="00000000" w:rsidR="00000000" w:rsidRPr="00000000">
              <w:rPr>
                <w:b w:val="1"/>
                <w:sz w:val="16"/>
                <w:szCs w:val="16"/>
                <w:rtl w:val="0"/>
              </w:rPr>
              <w:t xml:space="preserve">$1.01</w:t>
            </w:r>
          </w:p>
        </w:tc>
      </w:tr>
      <w:tr>
        <w:trPr>
          <w:trHeight w:val="1760" w:hRule="atLeast"/>
        </w:trPr>
        <w:tc>
          <w:tcPr>
            <w:gridSpan w:val="5"/>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pacing w:after="40" w:before="40" w:lineRule="auto"/>
              <w:ind w:left="1240" w:hanging="440"/>
              <w:jc w:val="both"/>
              <w:rPr>
                <w:sz w:val="16"/>
                <w:szCs w:val="16"/>
              </w:rPr>
            </w:pPr>
            <w:r w:rsidDel="00000000" w:rsidR="00000000" w:rsidRPr="00000000">
              <w:rPr>
                <w:sz w:val="16"/>
                <w:szCs w:val="16"/>
                <w:rtl w:val="0"/>
              </w:rPr>
              <w:t xml:space="preserve">1)</w:t>
            </w:r>
            <w:r w:rsidDel="00000000" w:rsidR="00000000" w:rsidRPr="00000000">
              <w:rPr>
                <w:sz w:val="20"/>
                <w:szCs w:val="20"/>
                <w:rtl w:val="0"/>
              </w:rPr>
              <w:t xml:space="preserve">     </w:t>
            </w:r>
            <w:r w:rsidDel="00000000" w:rsidR="00000000" w:rsidRPr="00000000">
              <w:rPr>
                <w:sz w:val="16"/>
                <w:szCs w:val="16"/>
                <w:rtl w:val="0"/>
              </w:rPr>
              <w:t xml:space="preserve">"Las aportaciones al patrimonio del Fondo para la administración de los recursos provenientes de sentencias que deriven de las Acciones Colectivas Difusas que se muestran en este cuadro, son las generadas durante el período de octubre a diciembre de 2020 y corresponden a los recursos provenientes de sentencias que deriven de las Acciones Colectivas Difusas de acuerdo a lo establecido en el artículo 4° del Acuerdo General del Pleno del Consejo de la Judicatura Federal, que crea el Fondo para la administración de los recursos provenientes de sentencias que deriven de las Acciones Colectivas Difusas, a que se refiere el artículo 624 del Código Federal de Procedimientos Civiles".</w:t>
            </w:r>
          </w:p>
        </w:tc>
      </w:tr>
    </w:tbl>
    <w:p w:rsidR="00000000" w:rsidDel="00000000" w:rsidP="00000000" w:rsidRDefault="00000000" w:rsidRPr="00000000" w14:paraId="0000002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Infórmese a la Entidad de Fiscalización Superior de la Federación y publíquese este documento en el Diario Oficial de la Federación.</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enero de 2021.- La Secretaria Técnica del Fondo para la administración de los recursos provenientes de sentencias que deriven de las Acciones Colectivas Difusas, </w:t>
      </w:r>
      <w:r w:rsidDel="00000000" w:rsidR="00000000" w:rsidRPr="00000000">
        <w:rPr>
          <w:b w:val="1"/>
          <w:color w:val="2f2f2f"/>
          <w:sz w:val="18"/>
          <w:szCs w:val="18"/>
          <w:rtl w:val="0"/>
        </w:rPr>
        <w:t xml:space="preserve">María Teresa Adriana Hermoso y Núñez</w:t>
      </w:r>
      <w:r w:rsidDel="00000000" w:rsidR="00000000" w:rsidRPr="00000000">
        <w:rPr>
          <w:color w:val="2f2f2f"/>
          <w:sz w:val="18"/>
          <w:szCs w:val="18"/>
          <w:rtl w:val="0"/>
        </w:rPr>
        <w:t xml:space="preserve">.- Rúbrica.</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