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5C" w:rsidRPr="00C17112" w:rsidRDefault="00932C8A" w:rsidP="005F095C">
      <w:pPr>
        <w:jc w:val="center"/>
        <w:rPr>
          <w:rFonts w:ascii="Verdana" w:eastAsia="Verdana" w:hAnsi="Verdana" w:cs="Verdana"/>
          <w:b/>
          <w:color w:val="0000FF"/>
          <w:sz w:val="24"/>
          <w:szCs w:val="24"/>
        </w:rPr>
      </w:pPr>
      <w:r w:rsidRPr="00932C8A">
        <w:rPr>
          <w:rFonts w:ascii="Verdana" w:eastAsia="Verdana" w:hAnsi="Verdana" w:cs="Verdana"/>
          <w:b/>
          <w:color w:val="0000FF"/>
          <w:sz w:val="24"/>
          <w:szCs w:val="24"/>
        </w:rPr>
        <w:t>ACUERDO por el que se instruyen diversas acciones a las dependencias que se indican, en relación a la importación definitiva de vehículos usados.</w:t>
      </w:r>
      <w:r w:rsidR="005F095C">
        <w:rPr>
          <w:rFonts w:ascii="Verdana" w:eastAsia="Verdana" w:hAnsi="Verdana" w:cs="Verdana"/>
          <w:b/>
          <w:color w:val="0000FF"/>
          <w:sz w:val="24"/>
          <w:szCs w:val="24"/>
        </w:rPr>
        <w:br/>
      </w:r>
      <w:r>
        <w:rPr>
          <w:rFonts w:ascii="Verdana" w:eastAsia="Verdana" w:hAnsi="Verdana" w:cs="Verdana"/>
          <w:b/>
          <w:color w:val="0000FF"/>
          <w:sz w:val="24"/>
          <w:szCs w:val="24"/>
        </w:rPr>
        <w:t>(DOF del 18</w:t>
      </w:r>
      <w:r w:rsidR="005F095C" w:rsidRPr="00575D6A">
        <w:rPr>
          <w:rFonts w:ascii="Verdana" w:eastAsia="Verdana" w:hAnsi="Verdana" w:cs="Verdana"/>
          <w:b/>
          <w:color w:val="0000FF"/>
          <w:sz w:val="24"/>
          <w:szCs w:val="24"/>
        </w:rPr>
        <w:t xml:space="preserve"> de </w:t>
      </w:r>
      <w:r w:rsidR="005F095C">
        <w:rPr>
          <w:rFonts w:ascii="Verdana" w:eastAsia="Verdana" w:hAnsi="Verdana" w:cs="Verdana"/>
          <w:b/>
          <w:color w:val="0000FF"/>
          <w:sz w:val="24"/>
          <w:szCs w:val="24"/>
        </w:rPr>
        <w:t>octubre</w:t>
      </w:r>
      <w:r w:rsidR="005F095C" w:rsidRPr="00575D6A">
        <w:rPr>
          <w:rFonts w:ascii="Verdana" w:eastAsia="Verdana" w:hAnsi="Verdana" w:cs="Verdana"/>
          <w:b/>
          <w:color w:val="0000FF"/>
          <w:sz w:val="24"/>
          <w:szCs w:val="24"/>
        </w:rPr>
        <w:t xml:space="preserve"> de 2021)</w:t>
      </w:r>
    </w:p>
    <w:p w:rsidR="00B32171" w:rsidRDefault="00932C8A" w:rsidP="00932C8A">
      <w:pPr>
        <w:tabs>
          <w:tab w:val="left" w:pos="5190"/>
        </w:tabs>
        <w:jc w:val="both"/>
        <w:rPr>
          <w:rFonts w:ascii="Arial" w:hAnsi="Arial" w:cs="Arial"/>
          <w:b/>
          <w:color w:val="262626" w:themeColor="text1" w:themeTint="D9"/>
          <w:sz w:val="18"/>
        </w:rPr>
      </w:pPr>
      <w:r w:rsidRPr="00932C8A">
        <w:rPr>
          <w:rFonts w:ascii="Arial" w:hAnsi="Arial" w:cs="Arial"/>
          <w:b/>
          <w:color w:val="262626" w:themeColor="text1" w:themeTint="D9"/>
          <w:sz w:val="18"/>
        </w:rPr>
        <w:t>Al margen un sello con el Escudo Nacional, que dice: Estados Unidos Mexicanos.- Presidencia de la República.</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b/>
          <w:bCs/>
          <w:color w:val="2F2F2F"/>
          <w:sz w:val="18"/>
          <w:szCs w:val="18"/>
          <w:lang w:eastAsia="es-MX"/>
        </w:rPr>
        <w:t>ANDRÉS MANUEL LÓPEZ OBRADOR</w:t>
      </w:r>
      <w:r w:rsidRPr="00932C8A">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30 Bis, 31 y 34 de la Ley Orgánica de la Administración Pública Federal, y 39, fracción II del Código Fiscal de la Federación, y</w:t>
      </w:r>
    </w:p>
    <w:p w:rsidR="00932C8A" w:rsidRPr="00932C8A" w:rsidRDefault="00932C8A" w:rsidP="00932C8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2C8A">
        <w:rPr>
          <w:rFonts w:ascii="Times" w:eastAsia="Times New Roman" w:hAnsi="Times" w:cs="Times"/>
          <w:b/>
          <w:bCs/>
          <w:color w:val="2F2F2F"/>
          <w:sz w:val="18"/>
          <w:szCs w:val="18"/>
          <w:lang w:eastAsia="es-MX"/>
        </w:rPr>
        <w:t>CONSIDERANDO</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color w:val="2F2F2F"/>
          <w:sz w:val="18"/>
          <w:szCs w:val="18"/>
          <w:lang w:eastAsia="es-MX"/>
        </w:rPr>
        <w:t>Que el Gobierno Federal ha implementado diversas acciones para el ordenamiento del mercado de vehículos usados de procedencia extranjera ingresados al país, cuyo objeto principal ha sido otorgar certeza jurídica a los importadores o propietarios de dichos vehículos, así como combatir la delincuencia y proteger a la ciudadanía ante el uso de vehículos no registrados e introducidos sin acreditar su legal estancia;</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color w:val="2F2F2F"/>
          <w:sz w:val="18"/>
          <w:szCs w:val="18"/>
          <w:lang w:eastAsia="es-MX"/>
        </w:rPr>
        <w:t>Que muestra de lo anterior, son los diversos Decretos emitidos por el Titular del Poder Ejecutivo Federal, por los que se regula la importación definitiva de vehículos usados, a través de los cuales se han establecido mecanismos que permiten realizar la importación de los mismos con aranceles reducidos, sin que se requiera permiso previo de importación y sin presentar un certificado de origen y con la obligación de los propietarios de dichos vehículos de cumplir el trámite de registro señalado en la Ley del Registro Público Vehicular, como lo es el "Decreto por el que se modifica y prorroga el diverso por el que se regula la importación definitiva de vehículos usados", publicado en el Diario Oficial de la Federación el 24 de diciembre de 2020;</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color w:val="2F2F2F"/>
          <w:sz w:val="18"/>
          <w:szCs w:val="18"/>
          <w:lang w:eastAsia="es-MX"/>
        </w:rPr>
        <w:t>Que en el citado instrumento jurídico, se reconoció que las condiciones que motivaron la emisión del Decreto por el que se regula la importación definitiva de vehículos usados, publicado en el Diario Oficial de la Federación el 1 de julio de 2011, aún se encuentran presentes y que el Gobierno de México continuaría implementando estrategias que permitan mejorar el bienestar de la población, la seguridad y proteger el patrimonio familiar, por lo que en el artículo primero transitorio del citado Decreto se determinó ampliar su vigencia hasta el 30 de septiembre de 2024;</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color w:val="2F2F2F"/>
          <w:sz w:val="18"/>
          <w:szCs w:val="18"/>
          <w:lang w:eastAsia="es-MX"/>
        </w:rPr>
        <w:t>Que por su parte, el Registro Público Vehicular, es un instrumento de información del Sistema Nacional de Seguridad Pública aplicable en todo el territorio nacional, que tiene como propósito principal otorgar seguridad pública y jurídica a los actos que se realicen con vehículos, y que resulta aplicable a la identificación y control de las importaciones de vehículos a territorio nacional;</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color w:val="2F2F2F"/>
          <w:sz w:val="18"/>
          <w:szCs w:val="18"/>
          <w:lang w:eastAsia="es-MX"/>
        </w:rPr>
        <w:t>Que a pesar de los diversos esfuerzos del Gobierno Federal antes señalados, a la fecha se siguen presentando diversas problemáticas en el país, relacionadas con la internación a territorio nacional de vehículos usados de procedencia extranjera cuya legal estancia no ha sido tramitada conforme a las disposiciones legales aplicables, sobre todo en aquellos estados de la República cuyo territorio se encuentra comprendido en la región fronteriza norte y en el estado de Baja California Sur;</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color w:val="2F2F2F"/>
          <w:sz w:val="18"/>
          <w:szCs w:val="18"/>
          <w:lang w:eastAsia="es-MX"/>
        </w:rPr>
        <w:t>Que para lograr los propósitos de otorgar seguridad a todos los habitantes del país, así como continuar implementando mecanismos que coadyuven a las familias más necesitadas a obtener certeza jurídica sobre los vehículos que adquieran, resulta necesario fomentar la regularización de los vehículos usados de procedencia extranjera que no hayan tramitado su importación definitiva en los estados de la región fronteriza norte y en el estado de Baja California Sur, por lo que he tenido bien expedir el siguiente</w:t>
      </w:r>
    </w:p>
    <w:p w:rsidR="00932C8A" w:rsidRPr="00932C8A" w:rsidRDefault="00932C8A" w:rsidP="00932C8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2C8A">
        <w:rPr>
          <w:rFonts w:ascii="Times" w:eastAsia="Times New Roman" w:hAnsi="Times" w:cs="Times"/>
          <w:b/>
          <w:bCs/>
          <w:color w:val="2F2F2F"/>
          <w:sz w:val="18"/>
          <w:szCs w:val="18"/>
          <w:lang w:eastAsia="es-MX"/>
        </w:rPr>
        <w:t>ACUERDO</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color w:val="2F2F2F"/>
          <w:sz w:val="18"/>
          <w:szCs w:val="18"/>
          <w:lang w:eastAsia="es-MX"/>
        </w:rPr>
        <w:t> </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b/>
          <w:bCs/>
          <w:color w:val="2F2F2F"/>
          <w:sz w:val="18"/>
          <w:szCs w:val="18"/>
          <w:lang w:eastAsia="es-MX"/>
        </w:rPr>
        <w:t>Artículo 1. </w:t>
      </w:r>
      <w:r w:rsidRPr="00932C8A">
        <w:rPr>
          <w:rFonts w:ascii="Arial" w:eastAsia="Times New Roman" w:hAnsi="Arial" w:cs="Arial"/>
          <w:color w:val="2F2F2F"/>
          <w:sz w:val="18"/>
          <w:szCs w:val="18"/>
          <w:lang w:eastAsia="es-MX"/>
        </w:rPr>
        <w:t>Se instruye a las secretarías de Hacienda y Crédito Público, de Economía y de Seguridad y Protección Ciudadana, dentro del ámbito de sus competencias, a elaborar un Programa que incentive a las personas físicas que residen en la región fronteriza norte, que comprende los estados de Baja California, Sonora, Chihuahua, Coahuila, Nuevo León y Tamaulipas, y en el estado de Baja California Sur, para llevar a cabo la regularización de los vehículos automotores usados, de procedencia extranjera, que se encuentren en dichos estados, con base en el Decreto por el que se regula la importación definitiva de vehículos usados vigente.</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color w:val="2F2F2F"/>
          <w:sz w:val="18"/>
          <w:szCs w:val="18"/>
          <w:lang w:eastAsia="es-MX"/>
        </w:rPr>
        <w:lastRenderedPageBreak/>
        <w:t>El Programa a que se refiere el párrafo anterior deberá comprender acciones de comunicación social, en términos de la Ley General de Comunicación Social y el Presupuesto de Egresos de la Federación para el ejercicio fiscal correspondiente, otorgamiento de facilidades administrativas y, en su caso, la elaboración de un nuevo proyecto de Decreto para regular la importación definitiva de vehículos usados que se encuentren en territorio nacional a la entrada en vigor del presente Acuerdo, así como cualquier otra acción que promueva la regularización de dichos vehículos por parte de la población.</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b/>
          <w:bCs/>
          <w:color w:val="2F2F2F"/>
          <w:sz w:val="18"/>
          <w:szCs w:val="18"/>
          <w:lang w:eastAsia="es-MX"/>
        </w:rPr>
        <w:t>Artículo 2.</w:t>
      </w:r>
      <w:r w:rsidRPr="00932C8A">
        <w:rPr>
          <w:rFonts w:ascii="Arial" w:eastAsia="Times New Roman" w:hAnsi="Arial" w:cs="Arial"/>
          <w:color w:val="2F2F2F"/>
          <w:sz w:val="18"/>
          <w:szCs w:val="18"/>
          <w:lang w:eastAsia="es-MX"/>
        </w:rPr>
        <w:t> La Secretaría de Hacienda y Crédito Público, a través del Servicio de Administración Tributaria, establecerá las facilidades administrativas necesarias para que las personas físicas señaladas en el artículo anterior, lleven a cabo las acciones legales para la aplicación del Decreto por el que se regula la importación definitiva de vehículos usados vigente y demás disposiciones legales aplicables.</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b/>
          <w:bCs/>
          <w:color w:val="2F2F2F"/>
          <w:sz w:val="18"/>
          <w:szCs w:val="18"/>
          <w:lang w:eastAsia="es-MX"/>
        </w:rPr>
        <w:t>Artículo 3. </w:t>
      </w:r>
      <w:r w:rsidRPr="00932C8A">
        <w:rPr>
          <w:rFonts w:ascii="Arial" w:eastAsia="Times New Roman" w:hAnsi="Arial" w:cs="Arial"/>
          <w:color w:val="2F2F2F"/>
          <w:sz w:val="18"/>
          <w:szCs w:val="18"/>
          <w:lang w:eastAsia="es-MX"/>
        </w:rPr>
        <w:t>La Secretaría de Seguridad y Protección Ciudadana se coordinará con los gobiernos estatales señalados en el artículo 1 del presente Acuerdo, para implementar acciones tendientes a identificar y registrar la circulación de vehículos automotores usados que no cumplan con su legal importación definitiva al país y lo harán del conocimiento de las secretarías de Hacienda y Crédito Público, a través del Servicio de Administración Tributaria y de Economía, para que en el ámbito de su competencia, y de conformidad con las disposiciones jurídicas aplicables, promuevan ante los propietarios de dichos vehículos su regularización.</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color w:val="2F2F2F"/>
          <w:sz w:val="18"/>
          <w:szCs w:val="18"/>
          <w:lang w:eastAsia="es-MX"/>
        </w:rPr>
        <w:t>La Secretaría de Seguridad y Protección Ciudadana, se coordinará con las secretarías señaladas en el párrafo que antecede para que, una vez realizada la importación definitiva de los citados vehículos, sean inscritos en el Registro Público Vehicular a cargo del Secretariado Ejecutivo del Sistema Nacional de Seguridad Pública.</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b/>
          <w:bCs/>
          <w:color w:val="2F2F2F"/>
          <w:sz w:val="18"/>
          <w:szCs w:val="18"/>
          <w:lang w:eastAsia="es-MX"/>
        </w:rPr>
        <w:t>Artículo 4. </w:t>
      </w:r>
      <w:r w:rsidRPr="00932C8A">
        <w:rPr>
          <w:rFonts w:ascii="Arial" w:eastAsia="Times New Roman" w:hAnsi="Arial" w:cs="Arial"/>
          <w:color w:val="2F2F2F"/>
          <w:sz w:val="18"/>
          <w:szCs w:val="18"/>
          <w:lang w:eastAsia="es-MX"/>
        </w:rPr>
        <w:t>Los ingresos que se obtengan por las contribuciones derivadas de la importación definitiva de vehículos usados en la Región Fronteriza Norte y el Estado de Baja California Sur y por las sanciones aplicadas con motivo de las infracciones en que incurran las personas físicas por exceder el plazo de retorno de vehículos usados importados temporalmente a dicha Región y entidad federativa, serán destinados conforme a lo que establezca la Ley de Ingresos de la Federación para el ejercicio fiscal correspondiente.</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b/>
          <w:bCs/>
          <w:color w:val="2F2F2F"/>
          <w:sz w:val="18"/>
          <w:szCs w:val="18"/>
          <w:lang w:eastAsia="es-MX"/>
        </w:rPr>
        <w:t>Artículo 5. </w:t>
      </w:r>
      <w:r w:rsidRPr="00932C8A">
        <w:rPr>
          <w:rFonts w:ascii="Arial" w:eastAsia="Times New Roman" w:hAnsi="Arial" w:cs="Arial"/>
          <w:color w:val="2F2F2F"/>
          <w:sz w:val="18"/>
          <w:szCs w:val="18"/>
          <w:lang w:eastAsia="es-MX"/>
        </w:rPr>
        <w:t>El</w:t>
      </w:r>
      <w:r w:rsidRPr="00932C8A">
        <w:rPr>
          <w:rFonts w:ascii="Arial" w:eastAsia="Times New Roman" w:hAnsi="Arial" w:cs="Arial"/>
          <w:b/>
          <w:bCs/>
          <w:color w:val="2F2F2F"/>
          <w:sz w:val="18"/>
          <w:szCs w:val="18"/>
          <w:lang w:eastAsia="es-MX"/>
        </w:rPr>
        <w:t> </w:t>
      </w:r>
      <w:r w:rsidRPr="00932C8A">
        <w:rPr>
          <w:rFonts w:ascii="Arial" w:eastAsia="Times New Roman" w:hAnsi="Arial" w:cs="Arial"/>
          <w:color w:val="2F2F2F"/>
          <w:sz w:val="18"/>
          <w:szCs w:val="18"/>
          <w:lang w:eastAsia="es-MX"/>
        </w:rPr>
        <w:t>Servicio de Administración Tributaria, en el ámbito de sus atribuciones, podrá expedir las disposiciones de carácter general que sean necesarias para la correcta y debida aplicación del presente instrumento, con independencia de las disposiciones específicas que emita la Secretaría de Hacienda y Crédito Público en relación a lo señalado en el artículo anterior y conforme a las disposiciones jurídicas aplicables.</w:t>
      </w:r>
    </w:p>
    <w:p w:rsidR="00932C8A" w:rsidRPr="00932C8A" w:rsidRDefault="00932C8A" w:rsidP="00932C8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2C8A">
        <w:rPr>
          <w:rFonts w:ascii="Times" w:eastAsia="Times New Roman" w:hAnsi="Times" w:cs="Times"/>
          <w:b/>
          <w:bCs/>
          <w:color w:val="2F2F2F"/>
          <w:sz w:val="18"/>
          <w:szCs w:val="18"/>
          <w:lang w:eastAsia="es-MX"/>
        </w:rPr>
        <w:t>TRANSITORIOS</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b/>
          <w:bCs/>
          <w:color w:val="2F2F2F"/>
          <w:sz w:val="18"/>
          <w:szCs w:val="18"/>
          <w:lang w:eastAsia="es-MX"/>
        </w:rPr>
        <w:t>PRIMERO.</w:t>
      </w:r>
      <w:r w:rsidRPr="00932C8A">
        <w:rPr>
          <w:rFonts w:ascii="Arial" w:eastAsia="Times New Roman" w:hAnsi="Arial" w:cs="Arial"/>
          <w:color w:val="2F2F2F"/>
          <w:sz w:val="18"/>
          <w:szCs w:val="18"/>
          <w:lang w:eastAsia="es-MX"/>
        </w:rPr>
        <w:t> El presente Acuerdo entrará en vigor el día siguiente de su publicación en el Diario Oficial de la Federación.</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b/>
          <w:bCs/>
          <w:color w:val="2F2F2F"/>
          <w:sz w:val="18"/>
          <w:szCs w:val="18"/>
          <w:lang w:eastAsia="es-MX"/>
        </w:rPr>
        <w:t>SEGUNDO.</w:t>
      </w:r>
      <w:r w:rsidRPr="00932C8A">
        <w:rPr>
          <w:rFonts w:ascii="Arial" w:eastAsia="Times New Roman" w:hAnsi="Arial" w:cs="Arial"/>
          <w:color w:val="2F2F2F"/>
          <w:sz w:val="18"/>
          <w:szCs w:val="18"/>
          <w:lang w:eastAsia="es-MX"/>
        </w:rPr>
        <w:t> Las facilidades que se establezcan conforme a lo ordenado en el presente Acuerdo, serán aplicables únicamente respecto de los vehículos que, hasta la fecha de entrada en vigor del presente instrumento, se encuentren en la región de aplicación de este Acuerdo, incluyendo el estado de Baja California Sur.</w:t>
      </w:r>
    </w:p>
    <w:p w:rsidR="00932C8A" w:rsidRPr="00932C8A" w:rsidRDefault="00932C8A" w:rsidP="00932C8A">
      <w:pPr>
        <w:shd w:val="clear" w:color="auto" w:fill="FFFFFF"/>
        <w:spacing w:after="101" w:line="240" w:lineRule="auto"/>
        <w:ind w:firstLine="288"/>
        <w:jc w:val="both"/>
        <w:rPr>
          <w:rFonts w:ascii="Arial" w:eastAsia="Times New Roman" w:hAnsi="Arial" w:cs="Arial"/>
          <w:color w:val="2F2F2F"/>
          <w:sz w:val="18"/>
          <w:szCs w:val="18"/>
          <w:lang w:eastAsia="es-MX"/>
        </w:rPr>
      </w:pPr>
      <w:r w:rsidRPr="00932C8A">
        <w:rPr>
          <w:rFonts w:ascii="Arial" w:eastAsia="Times New Roman" w:hAnsi="Arial" w:cs="Arial"/>
          <w:color w:val="2F2F2F"/>
          <w:sz w:val="18"/>
          <w:szCs w:val="18"/>
          <w:lang w:eastAsia="es-MX"/>
        </w:rPr>
        <w:t>Dado en la residencia del Poder Ejecutivo Federal, en la Ciudad de México, a 16 de octubre de 2021.- </w:t>
      </w:r>
      <w:r w:rsidRPr="00932C8A">
        <w:rPr>
          <w:rFonts w:ascii="Arial" w:eastAsia="Times New Roman" w:hAnsi="Arial" w:cs="Arial"/>
          <w:b/>
          <w:bCs/>
          <w:color w:val="2F2F2F"/>
          <w:sz w:val="18"/>
          <w:szCs w:val="18"/>
          <w:lang w:eastAsia="es-MX"/>
        </w:rPr>
        <w:t>Andrés Manuel López Obrador</w:t>
      </w:r>
      <w:r w:rsidRPr="00932C8A">
        <w:rPr>
          <w:rFonts w:ascii="Arial" w:eastAsia="Times New Roman" w:hAnsi="Arial" w:cs="Arial"/>
          <w:color w:val="2F2F2F"/>
          <w:sz w:val="18"/>
          <w:szCs w:val="18"/>
          <w:lang w:eastAsia="es-MX"/>
        </w:rPr>
        <w:t>.- Rúbrica.- La Secretaria de Seguridad y Protección Ciudadana, </w:t>
      </w:r>
      <w:r w:rsidRPr="00932C8A">
        <w:rPr>
          <w:rFonts w:ascii="Arial" w:eastAsia="Times New Roman" w:hAnsi="Arial" w:cs="Arial"/>
          <w:b/>
          <w:bCs/>
          <w:color w:val="2F2F2F"/>
          <w:sz w:val="18"/>
          <w:szCs w:val="18"/>
          <w:lang w:eastAsia="es-MX"/>
        </w:rPr>
        <w:t xml:space="preserve">Rosa </w:t>
      </w:r>
      <w:proofErr w:type="spellStart"/>
      <w:r w:rsidRPr="00932C8A">
        <w:rPr>
          <w:rFonts w:ascii="Arial" w:eastAsia="Times New Roman" w:hAnsi="Arial" w:cs="Arial"/>
          <w:b/>
          <w:bCs/>
          <w:color w:val="2F2F2F"/>
          <w:sz w:val="18"/>
          <w:szCs w:val="18"/>
          <w:lang w:eastAsia="es-MX"/>
        </w:rPr>
        <w:t>Icela</w:t>
      </w:r>
      <w:proofErr w:type="spellEnd"/>
      <w:r w:rsidRPr="00932C8A">
        <w:rPr>
          <w:rFonts w:ascii="Arial" w:eastAsia="Times New Roman" w:hAnsi="Arial" w:cs="Arial"/>
          <w:b/>
          <w:bCs/>
          <w:color w:val="2F2F2F"/>
          <w:sz w:val="18"/>
          <w:szCs w:val="18"/>
          <w:lang w:eastAsia="es-MX"/>
        </w:rPr>
        <w:t> Rodríguez Velázquez</w:t>
      </w:r>
      <w:r w:rsidRPr="00932C8A">
        <w:rPr>
          <w:rFonts w:ascii="Arial" w:eastAsia="Times New Roman" w:hAnsi="Arial" w:cs="Arial"/>
          <w:color w:val="2F2F2F"/>
          <w:sz w:val="18"/>
          <w:szCs w:val="18"/>
          <w:lang w:eastAsia="es-MX"/>
        </w:rPr>
        <w:t>.- Rúbrica.- El Secretario de Hacienda y Crédito Público, </w:t>
      </w:r>
      <w:r w:rsidRPr="00932C8A">
        <w:rPr>
          <w:rFonts w:ascii="Arial" w:eastAsia="Times New Roman" w:hAnsi="Arial" w:cs="Arial"/>
          <w:b/>
          <w:bCs/>
          <w:color w:val="2F2F2F"/>
          <w:sz w:val="18"/>
          <w:szCs w:val="18"/>
          <w:lang w:eastAsia="es-MX"/>
        </w:rPr>
        <w:t>Rogelio Eduardo Ramírez de la O</w:t>
      </w:r>
      <w:r w:rsidRPr="00932C8A">
        <w:rPr>
          <w:rFonts w:ascii="Arial" w:eastAsia="Times New Roman" w:hAnsi="Arial" w:cs="Arial"/>
          <w:color w:val="2F2F2F"/>
          <w:sz w:val="18"/>
          <w:szCs w:val="18"/>
          <w:lang w:eastAsia="es-MX"/>
        </w:rPr>
        <w:t>.- Rúbrica.- La Secretaria de Economía, </w:t>
      </w:r>
      <w:r w:rsidRPr="00932C8A">
        <w:rPr>
          <w:rFonts w:ascii="Arial" w:eastAsia="Times New Roman" w:hAnsi="Arial" w:cs="Arial"/>
          <w:b/>
          <w:bCs/>
          <w:color w:val="2F2F2F"/>
          <w:sz w:val="18"/>
          <w:szCs w:val="18"/>
          <w:lang w:eastAsia="es-MX"/>
        </w:rPr>
        <w:t xml:space="preserve">Tatiana </w:t>
      </w:r>
      <w:proofErr w:type="spellStart"/>
      <w:r w:rsidRPr="00932C8A">
        <w:rPr>
          <w:rFonts w:ascii="Arial" w:eastAsia="Times New Roman" w:hAnsi="Arial" w:cs="Arial"/>
          <w:b/>
          <w:bCs/>
          <w:color w:val="2F2F2F"/>
          <w:sz w:val="18"/>
          <w:szCs w:val="18"/>
          <w:lang w:eastAsia="es-MX"/>
        </w:rPr>
        <w:t>Clouthier</w:t>
      </w:r>
      <w:proofErr w:type="spellEnd"/>
      <w:r w:rsidRPr="00932C8A">
        <w:rPr>
          <w:rFonts w:ascii="Arial" w:eastAsia="Times New Roman" w:hAnsi="Arial" w:cs="Arial"/>
          <w:b/>
          <w:bCs/>
          <w:color w:val="2F2F2F"/>
          <w:sz w:val="18"/>
          <w:szCs w:val="18"/>
          <w:lang w:eastAsia="es-MX"/>
        </w:rPr>
        <w:t xml:space="preserve"> Carrillo</w:t>
      </w:r>
      <w:r w:rsidRPr="00932C8A">
        <w:rPr>
          <w:rFonts w:ascii="Arial" w:eastAsia="Times New Roman" w:hAnsi="Arial" w:cs="Arial"/>
          <w:color w:val="2F2F2F"/>
          <w:sz w:val="18"/>
          <w:szCs w:val="18"/>
          <w:lang w:eastAsia="es-MX"/>
        </w:rPr>
        <w:t>.- Rúbrica.</w:t>
      </w:r>
      <w:bookmarkStart w:id="0" w:name="_GoBack"/>
      <w:bookmarkEnd w:id="0"/>
    </w:p>
    <w:sectPr w:rsidR="00932C8A" w:rsidRPr="00932C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5C"/>
    <w:rsid w:val="005F095C"/>
    <w:rsid w:val="00857D96"/>
    <w:rsid w:val="00932C8A"/>
    <w:rsid w:val="00C500C3"/>
    <w:rsid w:val="00CF78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9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89930">
      <w:bodyDiv w:val="1"/>
      <w:marLeft w:val="0"/>
      <w:marRight w:val="0"/>
      <w:marTop w:val="0"/>
      <w:marBottom w:val="0"/>
      <w:divBdr>
        <w:top w:val="none" w:sz="0" w:space="0" w:color="auto"/>
        <w:left w:val="none" w:sz="0" w:space="0" w:color="auto"/>
        <w:bottom w:val="none" w:sz="0" w:space="0" w:color="auto"/>
        <w:right w:val="none" w:sz="0" w:space="0" w:color="auto"/>
      </w:divBdr>
      <w:divsChild>
        <w:div w:id="942109266">
          <w:marLeft w:val="0"/>
          <w:marRight w:val="0"/>
          <w:marTop w:val="0"/>
          <w:marBottom w:val="101"/>
          <w:divBdr>
            <w:top w:val="none" w:sz="0" w:space="0" w:color="auto"/>
            <w:left w:val="none" w:sz="0" w:space="0" w:color="auto"/>
            <w:bottom w:val="none" w:sz="0" w:space="0" w:color="auto"/>
            <w:right w:val="none" w:sz="0" w:space="0" w:color="auto"/>
          </w:divBdr>
        </w:div>
        <w:div w:id="1398817896">
          <w:marLeft w:val="0"/>
          <w:marRight w:val="0"/>
          <w:marTop w:val="101"/>
          <w:marBottom w:val="101"/>
          <w:divBdr>
            <w:top w:val="none" w:sz="0" w:space="0" w:color="auto"/>
            <w:left w:val="none" w:sz="0" w:space="0" w:color="auto"/>
            <w:bottom w:val="none" w:sz="0" w:space="0" w:color="auto"/>
            <w:right w:val="none" w:sz="0" w:space="0" w:color="auto"/>
          </w:divBdr>
        </w:div>
        <w:div w:id="1734305560">
          <w:marLeft w:val="0"/>
          <w:marRight w:val="0"/>
          <w:marTop w:val="0"/>
          <w:marBottom w:val="101"/>
          <w:divBdr>
            <w:top w:val="none" w:sz="0" w:space="0" w:color="auto"/>
            <w:left w:val="none" w:sz="0" w:space="0" w:color="auto"/>
            <w:bottom w:val="none" w:sz="0" w:space="0" w:color="auto"/>
            <w:right w:val="none" w:sz="0" w:space="0" w:color="auto"/>
          </w:divBdr>
        </w:div>
        <w:div w:id="482284622">
          <w:marLeft w:val="0"/>
          <w:marRight w:val="0"/>
          <w:marTop w:val="0"/>
          <w:marBottom w:val="101"/>
          <w:divBdr>
            <w:top w:val="none" w:sz="0" w:space="0" w:color="auto"/>
            <w:left w:val="none" w:sz="0" w:space="0" w:color="auto"/>
            <w:bottom w:val="none" w:sz="0" w:space="0" w:color="auto"/>
            <w:right w:val="none" w:sz="0" w:space="0" w:color="auto"/>
          </w:divBdr>
        </w:div>
        <w:div w:id="1916427758">
          <w:marLeft w:val="0"/>
          <w:marRight w:val="0"/>
          <w:marTop w:val="0"/>
          <w:marBottom w:val="101"/>
          <w:divBdr>
            <w:top w:val="none" w:sz="0" w:space="0" w:color="auto"/>
            <w:left w:val="none" w:sz="0" w:space="0" w:color="auto"/>
            <w:bottom w:val="none" w:sz="0" w:space="0" w:color="auto"/>
            <w:right w:val="none" w:sz="0" w:space="0" w:color="auto"/>
          </w:divBdr>
        </w:div>
        <w:div w:id="83772092">
          <w:marLeft w:val="0"/>
          <w:marRight w:val="0"/>
          <w:marTop w:val="0"/>
          <w:marBottom w:val="101"/>
          <w:divBdr>
            <w:top w:val="none" w:sz="0" w:space="0" w:color="auto"/>
            <w:left w:val="none" w:sz="0" w:space="0" w:color="auto"/>
            <w:bottom w:val="none" w:sz="0" w:space="0" w:color="auto"/>
            <w:right w:val="none" w:sz="0" w:space="0" w:color="auto"/>
          </w:divBdr>
        </w:div>
        <w:div w:id="1270308470">
          <w:marLeft w:val="0"/>
          <w:marRight w:val="0"/>
          <w:marTop w:val="0"/>
          <w:marBottom w:val="101"/>
          <w:divBdr>
            <w:top w:val="none" w:sz="0" w:space="0" w:color="auto"/>
            <w:left w:val="none" w:sz="0" w:space="0" w:color="auto"/>
            <w:bottom w:val="none" w:sz="0" w:space="0" w:color="auto"/>
            <w:right w:val="none" w:sz="0" w:space="0" w:color="auto"/>
          </w:divBdr>
        </w:div>
        <w:div w:id="48503355">
          <w:marLeft w:val="0"/>
          <w:marRight w:val="0"/>
          <w:marTop w:val="0"/>
          <w:marBottom w:val="101"/>
          <w:divBdr>
            <w:top w:val="none" w:sz="0" w:space="0" w:color="auto"/>
            <w:left w:val="none" w:sz="0" w:space="0" w:color="auto"/>
            <w:bottom w:val="none" w:sz="0" w:space="0" w:color="auto"/>
            <w:right w:val="none" w:sz="0" w:space="0" w:color="auto"/>
          </w:divBdr>
        </w:div>
        <w:div w:id="1536506510">
          <w:marLeft w:val="0"/>
          <w:marRight w:val="0"/>
          <w:marTop w:val="101"/>
          <w:marBottom w:val="101"/>
          <w:divBdr>
            <w:top w:val="none" w:sz="0" w:space="0" w:color="auto"/>
            <w:left w:val="none" w:sz="0" w:space="0" w:color="auto"/>
            <w:bottom w:val="none" w:sz="0" w:space="0" w:color="auto"/>
            <w:right w:val="none" w:sz="0" w:space="0" w:color="auto"/>
          </w:divBdr>
        </w:div>
        <w:div w:id="1815026695">
          <w:marLeft w:val="0"/>
          <w:marRight w:val="0"/>
          <w:marTop w:val="0"/>
          <w:marBottom w:val="101"/>
          <w:divBdr>
            <w:top w:val="none" w:sz="0" w:space="0" w:color="auto"/>
            <w:left w:val="none" w:sz="0" w:space="0" w:color="auto"/>
            <w:bottom w:val="none" w:sz="0" w:space="0" w:color="auto"/>
            <w:right w:val="none" w:sz="0" w:space="0" w:color="auto"/>
          </w:divBdr>
        </w:div>
        <w:div w:id="1522548090">
          <w:marLeft w:val="0"/>
          <w:marRight w:val="0"/>
          <w:marTop w:val="0"/>
          <w:marBottom w:val="101"/>
          <w:divBdr>
            <w:top w:val="none" w:sz="0" w:space="0" w:color="auto"/>
            <w:left w:val="none" w:sz="0" w:space="0" w:color="auto"/>
            <w:bottom w:val="none" w:sz="0" w:space="0" w:color="auto"/>
            <w:right w:val="none" w:sz="0" w:space="0" w:color="auto"/>
          </w:divBdr>
        </w:div>
        <w:div w:id="477457641">
          <w:marLeft w:val="0"/>
          <w:marRight w:val="0"/>
          <w:marTop w:val="0"/>
          <w:marBottom w:val="101"/>
          <w:divBdr>
            <w:top w:val="none" w:sz="0" w:space="0" w:color="auto"/>
            <w:left w:val="none" w:sz="0" w:space="0" w:color="auto"/>
            <w:bottom w:val="none" w:sz="0" w:space="0" w:color="auto"/>
            <w:right w:val="none" w:sz="0" w:space="0" w:color="auto"/>
          </w:divBdr>
        </w:div>
        <w:div w:id="1194491032">
          <w:marLeft w:val="0"/>
          <w:marRight w:val="0"/>
          <w:marTop w:val="0"/>
          <w:marBottom w:val="101"/>
          <w:divBdr>
            <w:top w:val="none" w:sz="0" w:space="0" w:color="auto"/>
            <w:left w:val="none" w:sz="0" w:space="0" w:color="auto"/>
            <w:bottom w:val="none" w:sz="0" w:space="0" w:color="auto"/>
            <w:right w:val="none" w:sz="0" w:space="0" w:color="auto"/>
          </w:divBdr>
        </w:div>
        <w:div w:id="66075276">
          <w:marLeft w:val="0"/>
          <w:marRight w:val="0"/>
          <w:marTop w:val="0"/>
          <w:marBottom w:val="101"/>
          <w:divBdr>
            <w:top w:val="none" w:sz="0" w:space="0" w:color="auto"/>
            <w:left w:val="none" w:sz="0" w:space="0" w:color="auto"/>
            <w:bottom w:val="none" w:sz="0" w:space="0" w:color="auto"/>
            <w:right w:val="none" w:sz="0" w:space="0" w:color="auto"/>
          </w:divBdr>
        </w:div>
        <w:div w:id="742338443">
          <w:marLeft w:val="0"/>
          <w:marRight w:val="0"/>
          <w:marTop w:val="0"/>
          <w:marBottom w:val="101"/>
          <w:divBdr>
            <w:top w:val="none" w:sz="0" w:space="0" w:color="auto"/>
            <w:left w:val="none" w:sz="0" w:space="0" w:color="auto"/>
            <w:bottom w:val="none" w:sz="0" w:space="0" w:color="auto"/>
            <w:right w:val="none" w:sz="0" w:space="0" w:color="auto"/>
          </w:divBdr>
        </w:div>
        <w:div w:id="107822636">
          <w:marLeft w:val="0"/>
          <w:marRight w:val="0"/>
          <w:marTop w:val="0"/>
          <w:marBottom w:val="101"/>
          <w:divBdr>
            <w:top w:val="none" w:sz="0" w:space="0" w:color="auto"/>
            <w:left w:val="none" w:sz="0" w:space="0" w:color="auto"/>
            <w:bottom w:val="none" w:sz="0" w:space="0" w:color="auto"/>
            <w:right w:val="none" w:sz="0" w:space="0" w:color="auto"/>
          </w:divBdr>
        </w:div>
        <w:div w:id="1057431582">
          <w:marLeft w:val="0"/>
          <w:marRight w:val="0"/>
          <w:marTop w:val="0"/>
          <w:marBottom w:val="101"/>
          <w:divBdr>
            <w:top w:val="none" w:sz="0" w:space="0" w:color="auto"/>
            <w:left w:val="none" w:sz="0" w:space="0" w:color="auto"/>
            <w:bottom w:val="none" w:sz="0" w:space="0" w:color="auto"/>
            <w:right w:val="none" w:sz="0" w:space="0" w:color="auto"/>
          </w:divBdr>
        </w:div>
        <w:div w:id="710110490">
          <w:marLeft w:val="0"/>
          <w:marRight w:val="0"/>
          <w:marTop w:val="101"/>
          <w:marBottom w:val="101"/>
          <w:divBdr>
            <w:top w:val="none" w:sz="0" w:space="0" w:color="auto"/>
            <w:left w:val="none" w:sz="0" w:space="0" w:color="auto"/>
            <w:bottom w:val="none" w:sz="0" w:space="0" w:color="auto"/>
            <w:right w:val="none" w:sz="0" w:space="0" w:color="auto"/>
          </w:divBdr>
        </w:div>
        <w:div w:id="771360320">
          <w:marLeft w:val="0"/>
          <w:marRight w:val="0"/>
          <w:marTop w:val="0"/>
          <w:marBottom w:val="101"/>
          <w:divBdr>
            <w:top w:val="none" w:sz="0" w:space="0" w:color="auto"/>
            <w:left w:val="none" w:sz="0" w:space="0" w:color="auto"/>
            <w:bottom w:val="none" w:sz="0" w:space="0" w:color="auto"/>
            <w:right w:val="none" w:sz="0" w:space="0" w:color="auto"/>
          </w:divBdr>
        </w:div>
        <w:div w:id="1044982323">
          <w:marLeft w:val="0"/>
          <w:marRight w:val="0"/>
          <w:marTop w:val="0"/>
          <w:marBottom w:val="101"/>
          <w:divBdr>
            <w:top w:val="none" w:sz="0" w:space="0" w:color="auto"/>
            <w:left w:val="none" w:sz="0" w:space="0" w:color="auto"/>
            <w:bottom w:val="none" w:sz="0" w:space="0" w:color="auto"/>
            <w:right w:val="none" w:sz="0" w:space="0" w:color="auto"/>
          </w:divBdr>
        </w:div>
        <w:div w:id="888950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1265</Words>
  <Characters>6960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2021-10-19T13:19:00Z</dcterms:created>
  <dcterms:modified xsi:type="dcterms:W3CDTF">2021-10-19T13:56:00Z</dcterms:modified>
</cp:coreProperties>
</file>