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mayo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9 al 15 de mayo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07 de mayo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