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16" w:rsidRDefault="00A63316" w:rsidP="00A63316">
      <w:pPr>
        <w:jc w:val="center"/>
        <w:rPr>
          <w:rFonts w:ascii="Verdana" w:hAnsi="Verdana"/>
          <w:b/>
          <w:bCs/>
          <w:color w:val="0070C0"/>
          <w:sz w:val="24"/>
        </w:rPr>
      </w:pPr>
      <w:r w:rsidRPr="00A63316">
        <w:rPr>
          <w:rFonts w:ascii="Verdana" w:hAnsi="Verdana"/>
          <w:b/>
          <w:bCs/>
          <w:color w:val="0070C0"/>
          <w:sz w:val="24"/>
        </w:rPr>
        <w:t>Decreto por el que se modifica el diverso por el que se establecen estímulos fiscales en materia del impuesto especial sobre producción y servicios aplicables a los combustibles que se indican, publi</w:t>
      </w:r>
      <w:r>
        <w:rPr>
          <w:rFonts w:ascii="Verdana" w:hAnsi="Verdana"/>
          <w:b/>
          <w:bCs/>
          <w:color w:val="0070C0"/>
          <w:sz w:val="24"/>
        </w:rPr>
        <w:t>cado el 27 de diciembre de 2016</w:t>
      </w:r>
    </w:p>
    <w:p w:rsidR="00A63316" w:rsidRDefault="00A63316" w:rsidP="00A63316">
      <w:pPr>
        <w:jc w:val="center"/>
        <w:rPr>
          <w:rFonts w:ascii="Verdana" w:hAnsi="Verdana"/>
          <w:b/>
          <w:bCs/>
          <w:color w:val="0070C0"/>
          <w:sz w:val="24"/>
        </w:rPr>
      </w:pPr>
      <w:r>
        <w:rPr>
          <w:rFonts w:ascii="Verdana" w:hAnsi="Verdana"/>
          <w:b/>
          <w:bCs/>
          <w:color w:val="0070C0"/>
          <w:sz w:val="24"/>
        </w:rPr>
        <w:t>(DOF del 31 de diciembre de 2019)</w:t>
      </w:r>
    </w:p>
    <w:p w:rsidR="00A63316" w:rsidRPr="00A63316" w:rsidRDefault="00A63316" w:rsidP="00A63316">
      <w:pPr>
        <w:jc w:val="both"/>
        <w:rPr>
          <w:rFonts w:ascii="Verdana" w:hAnsi="Verdana"/>
          <w:b/>
          <w:bCs/>
          <w:sz w:val="20"/>
        </w:rPr>
      </w:pPr>
      <w:r w:rsidRPr="00A63316">
        <w:rPr>
          <w:rFonts w:ascii="Verdana" w:hAnsi="Verdana"/>
          <w:b/>
          <w:bCs/>
          <w:sz w:val="20"/>
        </w:rPr>
        <w:t>Al margen un sello con el Escudo Nacional, que dice: Estados Unidos Mexicanos.- Presidencia de la República.</w:t>
      </w:r>
    </w:p>
    <w:p w:rsidR="00A63316" w:rsidRPr="00A63316" w:rsidRDefault="00A63316" w:rsidP="00A63316">
      <w:pPr>
        <w:jc w:val="both"/>
        <w:rPr>
          <w:rFonts w:ascii="Verdana" w:hAnsi="Verdana"/>
          <w:bCs/>
          <w:sz w:val="20"/>
        </w:rPr>
      </w:pPr>
      <w:r w:rsidRPr="00A63316">
        <w:rPr>
          <w:rFonts w:ascii="Verdana" w:hAnsi="Verdana"/>
          <w:b/>
          <w:bCs/>
          <w:sz w:val="20"/>
        </w:rPr>
        <w:t>ANDRÉS MANUEL LÓPEZ OBRADOR</w:t>
      </w:r>
      <w:r w:rsidRPr="00A63316">
        <w:rPr>
          <w:rFonts w:ascii="Verdana" w:hAnsi="Verdana"/>
          <w:bCs/>
          <w:sz w:val="20"/>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III del Código Fiscal de la Federación, y</w:t>
      </w:r>
    </w:p>
    <w:p w:rsidR="00A63316" w:rsidRPr="00A63316" w:rsidRDefault="00A63316" w:rsidP="00A63316">
      <w:pPr>
        <w:jc w:val="both"/>
        <w:rPr>
          <w:rFonts w:ascii="Verdana" w:hAnsi="Verdana"/>
          <w:b/>
          <w:bCs/>
          <w:sz w:val="20"/>
        </w:rPr>
      </w:pPr>
      <w:r w:rsidRPr="00A63316">
        <w:rPr>
          <w:rFonts w:ascii="Verdana" w:hAnsi="Verdana"/>
          <w:b/>
          <w:bCs/>
          <w:sz w:val="20"/>
        </w:rPr>
        <w:t>CONSIDERANDO</w:t>
      </w:r>
    </w:p>
    <w:p w:rsidR="00A63316" w:rsidRPr="00A63316" w:rsidRDefault="00A63316" w:rsidP="00A63316">
      <w:pPr>
        <w:jc w:val="both"/>
        <w:rPr>
          <w:rFonts w:ascii="Verdana" w:hAnsi="Verdana"/>
          <w:bCs/>
          <w:sz w:val="20"/>
        </w:rPr>
      </w:pPr>
      <w:r w:rsidRPr="00A63316">
        <w:rPr>
          <w:rFonts w:ascii="Verdana" w:hAnsi="Verdana"/>
          <w:bCs/>
          <w:sz w:val="20"/>
        </w:rPr>
        <w:t>Que el 27 de diciembre de 2016 se publicó en el Diario Oficial de la Federación el Decreto por el que se establecen estímulos fiscales en materia del impuesto especial sobre producción y servicios aplicables a los combustibles que se indican, mediante el cual se otorga un estímulo fiscal a los contribuyentes del impuesto mencionado que importen y enajenen gasolinas, diésel y combustibles no fósiles, consistente en una cantidad equivalente a un porcentaje de las cuotas aplicables a dichos combustibles;</w:t>
      </w:r>
    </w:p>
    <w:p w:rsidR="00A63316" w:rsidRPr="00A63316" w:rsidRDefault="00A63316" w:rsidP="00A63316">
      <w:pPr>
        <w:jc w:val="both"/>
        <w:rPr>
          <w:rFonts w:ascii="Verdana" w:hAnsi="Verdana"/>
          <w:bCs/>
          <w:sz w:val="20"/>
        </w:rPr>
      </w:pPr>
      <w:r w:rsidRPr="00A63316">
        <w:rPr>
          <w:rFonts w:ascii="Verdana" w:hAnsi="Verdana"/>
          <w:bCs/>
          <w:sz w:val="20"/>
        </w:rPr>
        <w:t>Que el 3, 10 y 17 de febrero, el 2 de marzo y 29 de noviembre de 2017, así como el 28 de diciembre de 2018, se publicaron en el citado órgano de difusión oficial las reformas al Decreto a que se refiere el considerando anterior, a través de las cuales se realizó una modificación temporal al estímulo fiscal antes mencionado;</w:t>
      </w:r>
    </w:p>
    <w:p w:rsidR="00A63316" w:rsidRPr="00A63316" w:rsidRDefault="00A63316" w:rsidP="00A63316">
      <w:pPr>
        <w:jc w:val="both"/>
        <w:rPr>
          <w:rFonts w:ascii="Verdana" w:hAnsi="Verdana"/>
          <w:bCs/>
          <w:sz w:val="20"/>
        </w:rPr>
      </w:pPr>
      <w:r w:rsidRPr="00A63316">
        <w:rPr>
          <w:rFonts w:ascii="Verdana" w:hAnsi="Verdana"/>
          <w:bCs/>
          <w:sz w:val="20"/>
        </w:rPr>
        <w:t>Que los estímulos fiscales señalados han tenido como objetivo proteger el poder adquisitivo de los hogares mexicanos al evitar tanto incrementos en términos reales, como movimientos abruptos en los precios al público de los combustibles mencionados, derivado de la volatilidad en los mercados globales de los energéticos y en el tipo de cambio, originada principalmente por tensiones geopolíticas y comerciales en diversas regiones del mundo, así como por la incertidumbre respecto a la oferta y demanda futuras de crudo a nivel mundial;</w:t>
      </w:r>
    </w:p>
    <w:p w:rsidR="00A63316" w:rsidRPr="00A63316" w:rsidRDefault="00A63316" w:rsidP="00A63316">
      <w:pPr>
        <w:jc w:val="both"/>
        <w:rPr>
          <w:rFonts w:ascii="Verdana" w:hAnsi="Verdana"/>
          <w:bCs/>
          <w:sz w:val="20"/>
        </w:rPr>
      </w:pPr>
      <w:r w:rsidRPr="00A63316">
        <w:rPr>
          <w:rFonts w:ascii="Verdana" w:hAnsi="Verdana"/>
          <w:bCs/>
          <w:sz w:val="20"/>
        </w:rPr>
        <w:t>Que en virtud de que las circunstancias anteriormente mencionadas prevalecen, se hace necesario ampliar para los ejercicios fiscales de 2020 y 2021, la aplicación de los estímulos fiscales en materia del impuesto especial sobre producción y servicios a los combustibles automotrices, para que se mitiguen los efectos de la volatilidad de los precios internacionales de las gasolinas y el diésel y del tipo de cambio, y evitar incrementos de precios en términos reales, medida que es congruente con el Plan Nacional de Desarrollo 2019-2024 en cuyo apartado 3. "Economía" establece que "no habrá incrementos de impuestos en términos reales ni aumentos a los precios de los combustibles por encima de la inflación";</w:t>
      </w:r>
    </w:p>
    <w:p w:rsidR="00A63316" w:rsidRPr="00A63316" w:rsidRDefault="00A63316" w:rsidP="00A63316">
      <w:pPr>
        <w:jc w:val="both"/>
        <w:rPr>
          <w:rFonts w:ascii="Verdana" w:hAnsi="Verdana"/>
          <w:bCs/>
          <w:sz w:val="20"/>
        </w:rPr>
      </w:pPr>
      <w:r w:rsidRPr="00A63316">
        <w:rPr>
          <w:rFonts w:ascii="Verdana" w:hAnsi="Verdana"/>
          <w:bCs/>
          <w:sz w:val="20"/>
        </w:rPr>
        <w:t>Que también resulta conveniente ampliar para los ejercicios fiscales de 2020 y 2021</w:t>
      </w:r>
      <w:r w:rsidRPr="00A63316">
        <w:rPr>
          <w:rFonts w:ascii="Verdana" w:hAnsi="Verdana"/>
          <w:b/>
          <w:bCs/>
          <w:sz w:val="20"/>
        </w:rPr>
        <w:t> </w:t>
      </w:r>
      <w:r w:rsidRPr="00A63316">
        <w:rPr>
          <w:rFonts w:ascii="Verdana" w:hAnsi="Verdana"/>
          <w:bCs/>
          <w:sz w:val="20"/>
        </w:rPr>
        <w:t xml:space="preserve">el estímulo fiscal 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consistente en una cantidad por litro de </w:t>
      </w:r>
      <w:r w:rsidRPr="00A63316">
        <w:rPr>
          <w:rFonts w:ascii="Verdana" w:hAnsi="Verdana"/>
          <w:bCs/>
          <w:sz w:val="20"/>
        </w:rPr>
        <w:lastRenderedPageBreak/>
        <w:t>gasolina enajenada, a efecto de limitar las diferencias entre los precios de dichos combustibles con la región colindante con los Estados Unidos de América, y</w:t>
      </w:r>
    </w:p>
    <w:p w:rsidR="00A63316" w:rsidRPr="00A63316" w:rsidRDefault="00A63316" w:rsidP="00A63316">
      <w:pPr>
        <w:jc w:val="both"/>
        <w:rPr>
          <w:rFonts w:ascii="Verdana" w:hAnsi="Verdana"/>
          <w:bCs/>
          <w:sz w:val="20"/>
        </w:rPr>
      </w:pPr>
      <w:r w:rsidRPr="00A63316">
        <w:rPr>
          <w:rFonts w:ascii="Verdana" w:hAnsi="Verdana"/>
          <w:bCs/>
          <w:sz w:val="20"/>
        </w:rPr>
        <w:t>Que de conformidad con el Código Fiscal de la Federación, el Ejecutivo Federal tiene la facultad para conceder estímulos fiscales, he tenido a bien expedir el siguiente</w:t>
      </w:r>
    </w:p>
    <w:p w:rsidR="00A63316" w:rsidRPr="00A63316" w:rsidRDefault="00A63316" w:rsidP="00A63316">
      <w:pPr>
        <w:jc w:val="both"/>
        <w:rPr>
          <w:rFonts w:ascii="Verdana" w:hAnsi="Verdana"/>
          <w:b/>
          <w:bCs/>
          <w:sz w:val="20"/>
        </w:rPr>
      </w:pPr>
      <w:r w:rsidRPr="00A63316">
        <w:rPr>
          <w:rFonts w:ascii="Verdana" w:hAnsi="Verdana"/>
          <w:b/>
          <w:bCs/>
          <w:sz w:val="20"/>
        </w:rPr>
        <w:t>DECRETO</w:t>
      </w:r>
    </w:p>
    <w:p w:rsidR="00A63316" w:rsidRPr="00A63316" w:rsidRDefault="00A63316" w:rsidP="00A63316">
      <w:pPr>
        <w:jc w:val="both"/>
        <w:rPr>
          <w:rFonts w:ascii="Verdana" w:hAnsi="Verdana"/>
          <w:bCs/>
          <w:sz w:val="20"/>
        </w:rPr>
      </w:pPr>
      <w:r w:rsidRPr="00A63316">
        <w:rPr>
          <w:rFonts w:ascii="Verdana" w:hAnsi="Verdana"/>
          <w:b/>
          <w:bCs/>
          <w:sz w:val="20"/>
        </w:rPr>
        <w:t>ARTÍCULO ÚNICO.- </w:t>
      </w:r>
      <w:r w:rsidRPr="00A63316">
        <w:rPr>
          <w:rFonts w:ascii="Verdana" w:hAnsi="Verdana"/>
          <w:bCs/>
          <w:sz w:val="20"/>
        </w:rPr>
        <w:t>Se reforman los artículos Primero, primer párrafo y Segundo, primer párrafo del Decreto por el que se establecen estímulos fiscales en materia del impuesto especial sobre producción y servicios aplicables a los combustibles que se indican, publicado en el Diario Oficial de la Federación el 27 de diciembre de 2016 y sus posteriores modificaciones, para quedar como sigue:</w:t>
      </w:r>
    </w:p>
    <w:p w:rsidR="00A63316" w:rsidRPr="00A63316" w:rsidRDefault="00A63316" w:rsidP="00A63316">
      <w:pPr>
        <w:jc w:val="both"/>
        <w:rPr>
          <w:rFonts w:ascii="Verdana" w:hAnsi="Verdana"/>
          <w:bCs/>
          <w:sz w:val="20"/>
        </w:rPr>
      </w:pPr>
      <w:r w:rsidRPr="00A63316">
        <w:rPr>
          <w:rFonts w:ascii="Verdana" w:hAnsi="Verdana"/>
          <w:bCs/>
          <w:sz w:val="20"/>
        </w:rPr>
        <w:t> </w:t>
      </w:r>
    </w:p>
    <w:p w:rsidR="00A63316" w:rsidRPr="00A63316" w:rsidRDefault="00A63316" w:rsidP="00A63316">
      <w:pPr>
        <w:jc w:val="both"/>
        <w:rPr>
          <w:rFonts w:ascii="Verdana" w:hAnsi="Verdana"/>
          <w:bCs/>
          <w:sz w:val="20"/>
        </w:rPr>
      </w:pPr>
      <w:r w:rsidRPr="00A63316">
        <w:rPr>
          <w:rFonts w:ascii="Verdana" w:hAnsi="Verdana"/>
          <w:bCs/>
          <w:sz w:val="20"/>
        </w:rPr>
        <w:t>"</w:t>
      </w:r>
      <w:r w:rsidRPr="00A63316">
        <w:rPr>
          <w:rFonts w:ascii="Verdana" w:hAnsi="Verdana"/>
          <w:b/>
          <w:bCs/>
          <w:sz w:val="20"/>
        </w:rPr>
        <w:t>Artículo Primero</w:t>
      </w:r>
      <w:r w:rsidRPr="00A63316">
        <w:rPr>
          <w:rFonts w:ascii="Verdana" w:hAnsi="Verdana"/>
          <w:bCs/>
          <w:sz w:val="20"/>
        </w:rPr>
        <w:t>.- Se otorga un estímulo fiscal durante los ejercicios fiscales de 2020 y 2021</w:t>
      </w:r>
      <w:r w:rsidRPr="00A63316">
        <w:rPr>
          <w:rFonts w:ascii="Verdana" w:hAnsi="Verdana"/>
          <w:b/>
          <w:bCs/>
          <w:sz w:val="20"/>
        </w:rPr>
        <w:t> </w:t>
      </w:r>
      <w:r w:rsidRPr="00A63316">
        <w:rPr>
          <w:rFonts w:ascii="Verdana" w:hAnsi="Verdana"/>
          <w:bCs/>
          <w:sz w:val="20"/>
        </w:rPr>
        <w:t>a los contribuyentes que importen y enajenen gasolinas, diésel y combustibles no fósiles a que se refiere el artículo 2o., fracción I, inciso D), numerales 1 y 2 de la Ley del Impuesto Especial sobre Producción y Servicios, consistente en una cantidad equivalente a un porcentaje de las cuotas aplicables a dichos combustibles.</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Artículo Segundo.- </w:t>
      </w:r>
      <w:r w:rsidRPr="00A63316">
        <w:rPr>
          <w:rFonts w:ascii="Verdana" w:hAnsi="Verdana"/>
          <w:bCs/>
          <w:sz w:val="20"/>
        </w:rPr>
        <w:t>Se otorga un estímulo fiscal durante los ejercicios fiscales de 2020 y 2021</w:t>
      </w:r>
      <w:r w:rsidRPr="00A63316">
        <w:rPr>
          <w:rFonts w:ascii="Verdana" w:hAnsi="Verdana"/>
          <w:b/>
          <w:bCs/>
          <w:sz w:val="20"/>
        </w:rPr>
        <w:t> </w:t>
      </w:r>
      <w:r w:rsidRPr="00A63316">
        <w:rPr>
          <w:rFonts w:ascii="Verdana" w:hAnsi="Verdana"/>
          <w:bCs/>
          <w:sz w:val="20"/>
        </w:rPr>
        <w:t>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dentro de las zonas geográficas que se establecen en el artículo Cuarto del presente Decreto, consistente en una cantidad por litro de gasolina enajenada aplicable en cada una de las zonas geográficas mencionadas.</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p>
    <w:p w:rsidR="00A63316" w:rsidRPr="00A63316" w:rsidRDefault="00A63316" w:rsidP="00A63316">
      <w:pPr>
        <w:jc w:val="both"/>
        <w:rPr>
          <w:rFonts w:ascii="Verdana" w:hAnsi="Verdana"/>
          <w:bCs/>
          <w:sz w:val="20"/>
        </w:rPr>
      </w:pPr>
      <w:r w:rsidRPr="00A63316">
        <w:rPr>
          <w:rFonts w:ascii="Verdana" w:hAnsi="Verdana"/>
          <w:b/>
          <w:bCs/>
          <w:sz w:val="20"/>
        </w:rPr>
        <w:t>...</w:t>
      </w:r>
      <w:r w:rsidRPr="00A63316">
        <w:rPr>
          <w:rFonts w:ascii="Verdana" w:hAnsi="Verdana"/>
          <w:bCs/>
          <w:sz w:val="20"/>
        </w:rPr>
        <w:t>"</w:t>
      </w:r>
    </w:p>
    <w:p w:rsidR="00A63316" w:rsidRPr="00A63316" w:rsidRDefault="00A63316" w:rsidP="00A63316">
      <w:pPr>
        <w:jc w:val="both"/>
        <w:rPr>
          <w:rFonts w:ascii="Verdana" w:hAnsi="Verdana"/>
          <w:b/>
          <w:bCs/>
          <w:sz w:val="20"/>
        </w:rPr>
      </w:pPr>
      <w:r w:rsidRPr="00A63316">
        <w:rPr>
          <w:rFonts w:ascii="Verdana" w:hAnsi="Verdana"/>
          <w:b/>
          <w:bCs/>
          <w:sz w:val="20"/>
        </w:rPr>
        <w:t>TRANSITORIO</w:t>
      </w:r>
    </w:p>
    <w:p w:rsidR="00A63316" w:rsidRPr="00A63316" w:rsidRDefault="00A63316" w:rsidP="00A63316">
      <w:pPr>
        <w:jc w:val="both"/>
        <w:rPr>
          <w:rFonts w:ascii="Verdana" w:hAnsi="Verdana"/>
          <w:bCs/>
          <w:sz w:val="20"/>
        </w:rPr>
      </w:pPr>
      <w:r w:rsidRPr="00A63316">
        <w:rPr>
          <w:rFonts w:ascii="Verdana" w:hAnsi="Verdana"/>
          <w:b/>
          <w:bCs/>
          <w:sz w:val="20"/>
        </w:rPr>
        <w:t>ÚNICO.- </w:t>
      </w:r>
      <w:r w:rsidRPr="00A63316">
        <w:rPr>
          <w:rFonts w:ascii="Verdana" w:hAnsi="Verdana"/>
          <w:bCs/>
          <w:sz w:val="20"/>
        </w:rPr>
        <w:t>El presente Decreto entrará en vigor el 1 de enero de 2020 y estará vigente hasta el 31 de diciembre de 2021.</w:t>
      </w:r>
    </w:p>
    <w:p w:rsidR="00A63316" w:rsidRPr="00A63316" w:rsidRDefault="00A63316" w:rsidP="00A63316">
      <w:pPr>
        <w:jc w:val="both"/>
        <w:rPr>
          <w:rFonts w:ascii="Verdana" w:hAnsi="Verdana"/>
          <w:bCs/>
          <w:sz w:val="20"/>
        </w:rPr>
      </w:pPr>
      <w:r w:rsidRPr="00A63316">
        <w:rPr>
          <w:rFonts w:ascii="Verdana" w:hAnsi="Verdana"/>
          <w:bCs/>
          <w:sz w:val="20"/>
        </w:rPr>
        <w:lastRenderedPageBreak/>
        <w:t>Dado en la residencia del Poder Ejecutivo Federal, en la Ciudad de México a 27 de diciembre de 2019.- </w:t>
      </w:r>
      <w:r w:rsidRPr="00A63316">
        <w:rPr>
          <w:rFonts w:ascii="Verdana" w:hAnsi="Verdana"/>
          <w:b/>
          <w:bCs/>
          <w:sz w:val="20"/>
        </w:rPr>
        <w:t>Andrés Manuel López Obrador</w:t>
      </w:r>
      <w:r w:rsidRPr="00A63316">
        <w:rPr>
          <w:rFonts w:ascii="Verdana" w:hAnsi="Verdana"/>
          <w:bCs/>
          <w:sz w:val="20"/>
        </w:rPr>
        <w:t>.- Rúbrica.- El Secretario de Hacienda y Crédito Público, </w:t>
      </w:r>
      <w:r w:rsidRPr="00A63316">
        <w:rPr>
          <w:rFonts w:ascii="Verdana" w:hAnsi="Verdana"/>
          <w:b/>
          <w:bCs/>
          <w:sz w:val="20"/>
        </w:rPr>
        <w:t>Arturo Herrera Gutiérrez</w:t>
      </w:r>
      <w:r w:rsidRPr="00A63316">
        <w:rPr>
          <w:rFonts w:ascii="Verdana" w:hAnsi="Verdana"/>
          <w:bCs/>
          <w:sz w:val="20"/>
        </w:rPr>
        <w:t>.- Rúbrica.</w:t>
      </w:r>
    </w:p>
    <w:p w:rsidR="00A63316" w:rsidRPr="00A63316" w:rsidRDefault="00A63316" w:rsidP="00A63316">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6"/>
    <w:rsid w:val="0047264B"/>
    <w:rsid w:val="00807AD8"/>
    <w:rsid w:val="00A0102E"/>
    <w:rsid w:val="00A63316"/>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9AE5-060E-4A22-AC02-423A240B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2357">
      <w:bodyDiv w:val="1"/>
      <w:marLeft w:val="0"/>
      <w:marRight w:val="0"/>
      <w:marTop w:val="0"/>
      <w:marBottom w:val="0"/>
      <w:divBdr>
        <w:top w:val="none" w:sz="0" w:space="0" w:color="auto"/>
        <w:left w:val="none" w:sz="0" w:space="0" w:color="auto"/>
        <w:bottom w:val="none" w:sz="0" w:space="0" w:color="auto"/>
        <w:right w:val="none" w:sz="0" w:space="0" w:color="auto"/>
      </w:divBdr>
      <w:divsChild>
        <w:div w:id="699939369">
          <w:marLeft w:val="0"/>
          <w:marRight w:val="0"/>
          <w:marTop w:val="0"/>
          <w:marBottom w:val="101"/>
          <w:divBdr>
            <w:top w:val="none" w:sz="0" w:space="0" w:color="auto"/>
            <w:left w:val="none" w:sz="0" w:space="0" w:color="auto"/>
            <w:bottom w:val="none" w:sz="0" w:space="0" w:color="auto"/>
            <w:right w:val="none" w:sz="0" w:space="0" w:color="auto"/>
          </w:divBdr>
        </w:div>
        <w:div w:id="1481733290">
          <w:marLeft w:val="0"/>
          <w:marRight w:val="0"/>
          <w:marTop w:val="101"/>
          <w:marBottom w:val="101"/>
          <w:divBdr>
            <w:top w:val="none" w:sz="0" w:space="0" w:color="auto"/>
            <w:left w:val="none" w:sz="0" w:space="0" w:color="auto"/>
            <w:bottom w:val="none" w:sz="0" w:space="0" w:color="auto"/>
            <w:right w:val="none" w:sz="0" w:space="0" w:color="auto"/>
          </w:divBdr>
        </w:div>
        <w:div w:id="1172912714">
          <w:marLeft w:val="0"/>
          <w:marRight w:val="0"/>
          <w:marTop w:val="0"/>
          <w:marBottom w:val="101"/>
          <w:divBdr>
            <w:top w:val="none" w:sz="0" w:space="0" w:color="auto"/>
            <w:left w:val="none" w:sz="0" w:space="0" w:color="auto"/>
            <w:bottom w:val="none" w:sz="0" w:space="0" w:color="auto"/>
            <w:right w:val="none" w:sz="0" w:space="0" w:color="auto"/>
          </w:divBdr>
        </w:div>
        <w:div w:id="1395931470">
          <w:marLeft w:val="0"/>
          <w:marRight w:val="0"/>
          <w:marTop w:val="0"/>
          <w:marBottom w:val="101"/>
          <w:divBdr>
            <w:top w:val="none" w:sz="0" w:space="0" w:color="auto"/>
            <w:left w:val="none" w:sz="0" w:space="0" w:color="auto"/>
            <w:bottom w:val="none" w:sz="0" w:space="0" w:color="auto"/>
            <w:right w:val="none" w:sz="0" w:space="0" w:color="auto"/>
          </w:divBdr>
        </w:div>
        <w:div w:id="2042120847">
          <w:marLeft w:val="0"/>
          <w:marRight w:val="0"/>
          <w:marTop w:val="0"/>
          <w:marBottom w:val="101"/>
          <w:divBdr>
            <w:top w:val="none" w:sz="0" w:space="0" w:color="auto"/>
            <w:left w:val="none" w:sz="0" w:space="0" w:color="auto"/>
            <w:bottom w:val="none" w:sz="0" w:space="0" w:color="auto"/>
            <w:right w:val="none" w:sz="0" w:space="0" w:color="auto"/>
          </w:divBdr>
        </w:div>
        <w:div w:id="1780560232">
          <w:marLeft w:val="0"/>
          <w:marRight w:val="0"/>
          <w:marTop w:val="0"/>
          <w:marBottom w:val="101"/>
          <w:divBdr>
            <w:top w:val="none" w:sz="0" w:space="0" w:color="auto"/>
            <w:left w:val="none" w:sz="0" w:space="0" w:color="auto"/>
            <w:bottom w:val="none" w:sz="0" w:space="0" w:color="auto"/>
            <w:right w:val="none" w:sz="0" w:space="0" w:color="auto"/>
          </w:divBdr>
        </w:div>
        <w:div w:id="1765880246">
          <w:marLeft w:val="0"/>
          <w:marRight w:val="0"/>
          <w:marTop w:val="0"/>
          <w:marBottom w:val="101"/>
          <w:divBdr>
            <w:top w:val="none" w:sz="0" w:space="0" w:color="auto"/>
            <w:left w:val="none" w:sz="0" w:space="0" w:color="auto"/>
            <w:bottom w:val="none" w:sz="0" w:space="0" w:color="auto"/>
            <w:right w:val="none" w:sz="0" w:space="0" w:color="auto"/>
          </w:divBdr>
        </w:div>
        <w:div w:id="816074044">
          <w:marLeft w:val="0"/>
          <w:marRight w:val="0"/>
          <w:marTop w:val="0"/>
          <w:marBottom w:val="101"/>
          <w:divBdr>
            <w:top w:val="none" w:sz="0" w:space="0" w:color="auto"/>
            <w:left w:val="none" w:sz="0" w:space="0" w:color="auto"/>
            <w:bottom w:val="none" w:sz="0" w:space="0" w:color="auto"/>
            <w:right w:val="none" w:sz="0" w:space="0" w:color="auto"/>
          </w:divBdr>
        </w:div>
        <w:div w:id="274364723">
          <w:marLeft w:val="0"/>
          <w:marRight w:val="0"/>
          <w:marTop w:val="101"/>
          <w:marBottom w:val="101"/>
          <w:divBdr>
            <w:top w:val="none" w:sz="0" w:space="0" w:color="auto"/>
            <w:left w:val="none" w:sz="0" w:space="0" w:color="auto"/>
            <w:bottom w:val="none" w:sz="0" w:space="0" w:color="auto"/>
            <w:right w:val="none" w:sz="0" w:space="0" w:color="auto"/>
          </w:divBdr>
        </w:div>
        <w:div w:id="1289971588">
          <w:marLeft w:val="0"/>
          <w:marRight w:val="0"/>
          <w:marTop w:val="0"/>
          <w:marBottom w:val="101"/>
          <w:divBdr>
            <w:top w:val="none" w:sz="0" w:space="0" w:color="auto"/>
            <w:left w:val="none" w:sz="0" w:space="0" w:color="auto"/>
            <w:bottom w:val="none" w:sz="0" w:space="0" w:color="auto"/>
            <w:right w:val="none" w:sz="0" w:space="0" w:color="auto"/>
          </w:divBdr>
        </w:div>
        <w:div w:id="1478960764">
          <w:marLeft w:val="0"/>
          <w:marRight w:val="0"/>
          <w:marTop w:val="0"/>
          <w:marBottom w:val="101"/>
          <w:divBdr>
            <w:top w:val="none" w:sz="0" w:space="0" w:color="auto"/>
            <w:left w:val="none" w:sz="0" w:space="0" w:color="auto"/>
            <w:bottom w:val="none" w:sz="0" w:space="0" w:color="auto"/>
            <w:right w:val="none" w:sz="0" w:space="0" w:color="auto"/>
          </w:divBdr>
        </w:div>
        <w:div w:id="1752314723">
          <w:marLeft w:val="0"/>
          <w:marRight w:val="0"/>
          <w:marTop w:val="0"/>
          <w:marBottom w:val="101"/>
          <w:divBdr>
            <w:top w:val="none" w:sz="0" w:space="0" w:color="auto"/>
            <w:left w:val="none" w:sz="0" w:space="0" w:color="auto"/>
            <w:bottom w:val="none" w:sz="0" w:space="0" w:color="auto"/>
            <w:right w:val="none" w:sz="0" w:space="0" w:color="auto"/>
          </w:divBdr>
        </w:div>
        <w:div w:id="1710372558">
          <w:marLeft w:val="0"/>
          <w:marRight w:val="0"/>
          <w:marTop w:val="0"/>
          <w:marBottom w:val="101"/>
          <w:divBdr>
            <w:top w:val="none" w:sz="0" w:space="0" w:color="auto"/>
            <w:left w:val="none" w:sz="0" w:space="0" w:color="auto"/>
            <w:bottom w:val="none" w:sz="0" w:space="0" w:color="auto"/>
            <w:right w:val="none" w:sz="0" w:space="0" w:color="auto"/>
          </w:divBdr>
        </w:div>
        <w:div w:id="43483003">
          <w:marLeft w:val="0"/>
          <w:marRight w:val="0"/>
          <w:marTop w:val="0"/>
          <w:marBottom w:val="101"/>
          <w:divBdr>
            <w:top w:val="none" w:sz="0" w:space="0" w:color="auto"/>
            <w:left w:val="none" w:sz="0" w:space="0" w:color="auto"/>
            <w:bottom w:val="none" w:sz="0" w:space="0" w:color="auto"/>
            <w:right w:val="none" w:sz="0" w:space="0" w:color="auto"/>
          </w:divBdr>
        </w:div>
        <w:div w:id="868642764">
          <w:marLeft w:val="0"/>
          <w:marRight w:val="0"/>
          <w:marTop w:val="0"/>
          <w:marBottom w:val="101"/>
          <w:divBdr>
            <w:top w:val="none" w:sz="0" w:space="0" w:color="auto"/>
            <w:left w:val="none" w:sz="0" w:space="0" w:color="auto"/>
            <w:bottom w:val="none" w:sz="0" w:space="0" w:color="auto"/>
            <w:right w:val="none" w:sz="0" w:space="0" w:color="auto"/>
          </w:divBdr>
        </w:div>
        <w:div w:id="364989593">
          <w:marLeft w:val="0"/>
          <w:marRight w:val="0"/>
          <w:marTop w:val="0"/>
          <w:marBottom w:val="101"/>
          <w:divBdr>
            <w:top w:val="none" w:sz="0" w:space="0" w:color="auto"/>
            <w:left w:val="none" w:sz="0" w:space="0" w:color="auto"/>
            <w:bottom w:val="none" w:sz="0" w:space="0" w:color="auto"/>
            <w:right w:val="none" w:sz="0" w:space="0" w:color="auto"/>
          </w:divBdr>
        </w:div>
        <w:div w:id="966281619">
          <w:marLeft w:val="0"/>
          <w:marRight w:val="0"/>
          <w:marTop w:val="0"/>
          <w:marBottom w:val="101"/>
          <w:divBdr>
            <w:top w:val="none" w:sz="0" w:space="0" w:color="auto"/>
            <w:left w:val="none" w:sz="0" w:space="0" w:color="auto"/>
            <w:bottom w:val="none" w:sz="0" w:space="0" w:color="auto"/>
            <w:right w:val="none" w:sz="0" w:space="0" w:color="auto"/>
          </w:divBdr>
        </w:div>
        <w:div w:id="844512176">
          <w:marLeft w:val="0"/>
          <w:marRight w:val="0"/>
          <w:marTop w:val="0"/>
          <w:marBottom w:val="101"/>
          <w:divBdr>
            <w:top w:val="none" w:sz="0" w:space="0" w:color="auto"/>
            <w:left w:val="none" w:sz="0" w:space="0" w:color="auto"/>
            <w:bottom w:val="none" w:sz="0" w:space="0" w:color="auto"/>
            <w:right w:val="none" w:sz="0" w:space="0" w:color="auto"/>
          </w:divBdr>
        </w:div>
        <w:div w:id="1451438387">
          <w:marLeft w:val="0"/>
          <w:marRight w:val="0"/>
          <w:marTop w:val="0"/>
          <w:marBottom w:val="101"/>
          <w:divBdr>
            <w:top w:val="none" w:sz="0" w:space="0" w:color="auto"/>
            <w:left w:val="none" w:sz="0" w:space="0" w:color="auto"/>
            <w:bottom w:val="none" w:sz="0" w:space="0" w:color="auto"/>
            <w:right w:val="none" w:sz="0" w:space="0" w:color="auto"/>
          </w:divBdr>
        </w:div>
        <w:div w:id="272712785">
          <w:marLeft w:val="0"/>
          <w:marRight w:val="0"/>
          <w:marTop w:val="0"/>
          <w:marBottom w:val="101"/>
          <w:divBdr>
            <w:top w:val="none" w:sz="0" w:space="0" w:color="auto"/>
            <w:left w:val="none" w:sz="0" w:space="0" w:color="auto"/>
            <w:bottom w:val="none" w:sz="0" w:space="0" w:color="auto"/>
            <w:right w:val="none" w:sz="0" w:space="0" w:color="auto"/>
          </w:divBdr>
        </w:div>
        <w:div w:id="1973437005">
          <w:marLeft w:val="0"/>
          <w:marRight w:val="0"/>
          <w:marTop w:val="0"/>
          <w:marBottom w:val="101"/>
          <w:divBdr>
            <w:top w:val="none" w:sz="0" w:space="0" w:color="auto"/>
            <w:left w:val="none" w:sz="0" w:space="0" w:color="auto"/>
            <w:bottom w:val="none" w:sz="0" w:space="0" w:color="auto"/>
            <w:right w:val="none" w:sz="0" w:space="0" w:color="auto"/>
          </w:divBdr>
        </w:div>
        <w:div w:id="585110459">
          <w:marLeft w:val="0"/>
          <w:marRight w:val="0"/>
          <w:marTop w:val="0"/>
          <w:marBottom w:val="101"/>
          <w:divBdr>
            <w:top w:val="none" w:sz="0" w:space="0" w:color="auto"/>
            <w:left w:val="none" w:sz="0" w:space="0" w:color="auto"/>
            <w:bottom w:val="none" w:sz="0" w:space="0" w:color="auto"/>
            <w:right w:val="none" w:sz="0" w:space="0" w:color="auto"/>
          </w:divBdr>
        </w:div>
        <w:div w:id="1916434522">
          <w:marLeft w:val="0"/>
          <w:marRight w:val="0"/>
          <w:marTop w:val="0"/>
          <w:marBottom w:val="101"/>
          <w:divBdr>
            <w:top w:val="none" w:sz="0" w:space="0" w:color="auto"/>
            <w:left w:val="none" w:sz="0" w:space="0" w:color="auto"/>
            <w:bottom w:val="none" w:sz="0" w:space="0" w:color="auto"/>
            <w:right w:val="none" w:sz="0" w:space="0" w:color="auto"/>
          </w:divBdr>
        </w:div>
        <w:div w:id="1075785806">
          <w:marLeft w:val="0"/>
          <w:marRight w:val="0"/>
          <w:marTop w:val="101"/>
          <w:marBottom w:val="101"/>
          <w:divBdr>
            <w:top w:val="none" w:sz="0" w:space="0" w:color="auto"/>
            <w:left w:val="none" w:sz="0" w:space="0" w:color="auto"/>
            <w:bottom w:val="none" w:sz="0" w:space="0" w:color="auto"/>
            <w:right w:val="none" w:sz="0" w:space="0" w:color="auto"/>
          </w:divBdr>
        </w:div>
        <w:div w:id="727071312">
          <w:marLeft w:val="0"/>
          <w:marRight w:val="0"/>
          <w:marTop w:val="0"/>
          <w:marBottom w:val="101"/>
          <w:divBdr>
            <w:top w:val="none" w:sz="0" w:space="0" w:color="auto"/>
            <w:left w:val="none" w:sz="0" w:space="0" w:color="auto"/>
            <w:bottom w:val="none" w:sz="0" w:space="0" w:color="auto"/>
            <w:right w:val="none" w:sz="0" w:space="0" w:color="auto"/>
          </w:divBdr>
        </w:div>
        <w:div w:id="736783397">
          <w:marLeft w:val="0"/>
          <w:marRight w:val="0"/>
          <w:marTop w:val="0"/>
          <w:marBottom w:val="101"/>
          <w:divBdr>
            <w:top w:val="none" w:sz="0" w:space="0" w:color="auto"/>
            <w:left w:val="none" w:sz="0" w:space="0" w:color="auto"/>
            <w:bottom w:val="none" w:sz="0" w:space="0" w:color="auto"/>
            <w:right w:val="none" w:sz="0" w:space="0" w:color="auto"/>
          </w:divBdr>
        </w:div>
      </w:divsChild>
    </w:div>
    <w:div w:id="185489717">
      <w:bodyDiv w:val="1"/>
      <w:marLeft w:val="0"/>
      <w:marRight w:val="0"/>
      <w:marTop w:val="0"/>
      <w:marBottom w:val="0"/>
      <w:divBdr>
        <w:top w:val="none" w:sz="0" w:space="0" w:color="auto"/>
        <w:left w:val="none" w:sz="0" w:space="0" w:color="auto"/>
        <w:bottom w:val="none" w:sz="0" w:space="0" w:color="auto"/>
        <w:right w:val="none" w:sz="0" w:space="0" w:color="auto"/>
      </w:divBdr>
      <w:divsChild>
        <w:div w:id="187792615">
          <w:marLeft w:val="0"/>
          <w:marRight w:val="0"/>
          <w:marTop w:val="0"/>
          <w:marBottom w:val="101"/>
          <w:divBdr>
            <w:top w:val="none" w:sz="0" w:space="0" w:color="auto"/>
            <w:left w:val="none" w:sz="0" w:space="0" w:color="auto"/>
            <w:bottom w:val="none" w:sz="0" w:space="0" w:color="auto"/>
            <w:right w:val="none" w:sz="0" w:space="0" w:color="auto"/>
          </w:divBdr>
        </w:div>
        <w:div w:id="1485048737">
          <w:marLeft w:val="0"/>
          <w:marRight w:val="0"/>
          <w:marTop w:val="101"/>
          <w:marBottom w:val="101"/>
          <w:divBdr>
            <w:top w:val="none" w:sz="0" w:space="0" w:color="auto"/>
            <w:left w:val="none" w:sz="0" w:space="0" w:color="auto"/>
            <w:bottom w:val="none" w:sz="0" w:space="0" w:color="auto"/>
            <w:right w:val="none" w:sz="0" w:space="0" w:color="auto"/>
          </w:divBdr>
        </w:div>
        <w:div w:id="1010990758">
          <w:marLeft w:val="0"/>
          <w:marRight w:val="0"/>
          <w:marTop w:val="0"/>
          <w:marBottom w:val="101"/>
          <w:divBdr>
            <w:top w:val="none" w:sz="0" w:space="0" w:color="auto"/>
            <w:left w:val="none" w:sz="0" w:space="0" w:color="auto"/>
            <w:bottom w:val="none" w:sz="0" w:space="0" w:color="auto"/>
            <w:right w:val="none" w:sz="0" w:space="0" w:color="auto"/>
          </w:divBdr>
        </w:div>
        <w:div w:id="1403680196">
          <w:marLeft w:val="0"/>
          <w:marRight w:val="0"/>
          <w:marTop w:val="0"/>
          <w:marBottom w:val="101"/>
          <w:divBdr>
            <w:top w:val="none" w:sz="0" w:space="0" w:color="auto"/>
            <w:left w:val="none" w:sz="0" w:space="0" w:color="auto"/>
            <w:bottom w:val="none" w:sz="0" w:space="0" w:color="auto"/>
            <w:right w:val="none" w:sz="0" w:space="0" w:color="auto"/>
          </w:divBdr>
        </w:div>
        <w:div w:id="332414349">
          <w:marLeft w:val="0"/>
          <w:marRight w:val="0"/>
          <w:marTop w:val="0"/>
          <w:marBottom w:val="101"/>
          <w:divBdr>
            <w:top w:val="none" w:sz="0" w:space="0" w:color="auto"/>
            <w:left w:val="none" w:sz="0" w:space="0" w:color="auto"/>
            <w:bottom w:val="none" w:sz="0" w:space="0" w:color="auto"/>
            <w:right w:val="none" w:sz="0" w:space="0" w:color="auto"/>
          </w:divBdr>
        </w:div>
        <w:div w:id="1498840337">
          <w:marLeft w:val="0"/>
          <w:marRight w:val="0"/>
          <w:marTop w:val="0"/>
          <w:marBottom w:val="101"/>
          <w:divBdr>
            <w:top w:val="none" w:sz="0" w:space="0" w:color="auto"/>
            <w:left w:val="none" w:sz="0" w:space="0" w:color="auto"/>
            <w:bottom w:val="none" w:sz="0" w:space="0" w:color="auto"/>
            <w:right w:val="none" w:sz="0" w:space="0" w:color="auto"/>
          </w:divBdr>
        </w:div>
        <w:div w:id="272324685">
          <w:marLeft w:val="0"/>
          <w:marRight w:val="0"/>
          <w:marTop w:val="0"/>
          <w:marBottom w:val="101"/>
          <w:divBdr>
            <w:top w:val="none" w:sz="0" w:space="0" w:color="auto"/>
            <w:left w:val="none" w:sz="0" w:space="0" w:color="auto"/>
            <w:bottom w:val="none" w:sz="0" w:space="0" w:color="auto"/>
            <w:right w:val="none" w:sz="0" w:space="0" w:color="auto"/>
          </w:divBdr>
        </w:div>
        <w:div w:id="667293246">
          <w:marLeft w:val="0"/>
          <w:marRight w:val="0"/>
          <w:marTop w:val="0"/>
          <w:marBottom w:val="101"/>
          <w:divBdr>
            <w:top w:val="none" w:sz="0" w:space="0" w:color="auto"/>
            <w:left w:val="none" w:sz="0" w:space="0" w:color="auto"/>
            <w:bottom w:val="none" w:sz="0" w:space="0" w:color="auto"/>
            <w:right w:val="none" w:sz="0" w:space="0" w:color="auto"/>
          </w:divBdr>
        </w:div>
        <w:div w:id="1778210418">
          <w:marLeft w:val="0"/>
          <w:marRight w:val="0"/>
          <w:marTop w:val="101"/>
          <w:marBottom w:val="101"/>
          <w:divBdr>
            <w:top w:val="none" w:sz="0" w:space="0" w:color="auto"/>
            <w:left w:val="none" w:sz="0" w:space="0" w:color="auto"/>
            <w:bottom w:val="none" w:sz="0" w:space="0" w:color="auto"/>
            <w:right w:val="none" w:sz="0" w:space="0" w:color="auto"/>
          </w:divBdr>
        </w:div>
        <w:div w:id="2112043464">
          <w:marLeft w:val="0"/>
          <w:marRight w:val="0"/>
          <w:marTop w:val="0"/>
          <w:marBottom w:val="101"/>
          <w:divBdr>
            <w:top w:val="none" w:sz="0" w:space="0" w:color="auto"/>
            <w:left w:val="none" w:sz="0" w:space="0" w:color="auto"/>
            <w:bottom w:val="none" w:sz="0" w:space="0" w:color="auto"/>
            <w:right w:val="none" w:sz="0" w:space="0" w:color="auto"/>
          </w:divBdr>
        </w:div>
        <w:div w:id="1085810244">
          <w:marLeft w:val="0"/>
          <w:marRight w:val="0"/>
          <w:marTop w:val="0"/>
          <w:marBottom w:val="101"/>
          <w:divBdr>
            <w:top w:val="none" w:sz="0" w:space="0" w:color="auto"/>
            <w:left w:val="none" w:sz="0" w:space="0" w:color="auto"/>
            <w:bottom w:val="none" w:sz="0" w:space="0" w:color="auto"/>
            <w:right w:val="none" w:sz="0" w:space="0" w:color="auto"/>
          </w:divBdr>
        </w:div>
        <w:div w:id="423767500">
          <w:marLeft w:val="0"/>
          <w:marRight w:val="0"/>
          <w:marTop w:val="0"/>
          <w:marBottom w:val="101"/>
          <w:divBdr>
            <w:top w:val="none" w:sz="0" w:space="0" w:color="auto"/>
            <w:left w:val="none" w:sz="0" w:space="0" w:color="auto"/>
            <w:bottom w:val="none" w:sz="0" w:space="0" w:color="auto"/>
            <w:right w:val="none" w:sz="0" w:space="0" w:color="auto"/>
          </w:divBdr>
        </w:div>
        <w:div w:id="2028675521">
          <w:marLeft w:val="0"/>
          <w:marRight w:val="0"/>
          <w:marTop w:val="0"/>
          <w:marBottom w:val="101"/>
          <w:divBdr>
            <w:top w:val="none" w:sz="0" w:space="0" w:color="auto"/>
            <w:left w:val="none" w:sz="0" w:space="0" w:color="auto"/>
            <w:bottom w:val="none" w:sz="0" w:space="0" w:color="auto"/>
            <w:right w:val="none" w:sz="0" w:space="0" w:color="auto"/>
          </w:divBdr>
        </w:div>
        <w:div w:id="68307939">
          <w:marLeft w:val="0"/>
          <w:marRight w:val="0"/>
          <w:marTop w:val="0"/>
          <w:marBottom w:val="101"/>
          <w:divBdr>
            <w:top w:val="none" w:sz="0" w:space="0" w:color="auto"/>
            <w:left w:val="none" w:sz="0" w:space="0" w:color="auto"/>
            <w:bottom w:val="none" w:sz="0" w:space="0" w:color="auto"/>
            <w:right w:val="none" w:sz="0" w:space="0" w:color="auto"/>
          </w:divBdr>
        </w:div>
        <w:div w:id="1632974585">
          <w:marLeft w:val="0"/>
          <w:marRight w:val="0"/>
          <w:marTop w:val="0"/>
          <w:marBottom w:val="101"/>
          <w:divBdr>
            <w:top w:val="none" w:sz="0" w:space="0" w:color="auto"/>
            <w:left w:val="none" w:sz="0" w:space="0" w:color="auto"/>
            <w:bottom w:val="none" w:sz="0" w:space="0" w:color="auto"/>
            <w:right w:val="none" w:sz="0" w:space="0" w:color="auto"/>
          </w:divBdr>
        </w:div>
        <w:div w:id="87818765">
          <w:marLeft w:val="0"/>
          <w:marRight w:val="0"/>
          <w:marTop w:val="0"/>
          <w:marBottom w:val="101"/>
          <w:divBdr>
            <w:top w:val="none" w:sz="0" w:space="0" w:color="auto"/>
            <w:left w:val="none" w:sz="0" w:space="0" w:color="auto"/>
            <w:bottom w:val="none" w:sz="0" w:space="0" w:color="auto"/>
            <w:right w:val="none" w:sz="0" w:space="0" w:color="auto"/>
          </w:divBdr>
        </w:div>
        <w:div w:id="1051466876">
          <w:marLeft w:val="0"/>
          <w:marRight w:val="0"/>
          <w:marTop w:val="0"/>
          <w:marBottom w:val="101"/>
          <w:divBdr>
            <w:top w:val="none" w:sz="0" w:space="0" w:color="auto"/>
            <w:left w:val="none" w:sz="0" w:space="0" w:color="auto"/>
            <w:bottom w:val="none" w:sz="0" w:space="0" w:color="auto"/>
            <w:right w:val="none" w:sz="0" w:space="0" w:color="auto"/>
          </w:divBdr>
        </w:div>
        <w:div w:id="1255358877">
          <w:marLeft w:val="0"/>
          <w:marRight w:val="0"/>
          <w:marTop w:val="0"/>
          <w:marBottom w:val="101"/>
          <w:divBdr>
            <w:top w:val="none" w:sz="0" w:space="0" w:color="auto"/>
            <w:left w:val="none" w:sz="0" w:space="0" w:color="auto"/>
            <w:bottom w:val="none" w:sz="0" w:space="0" w:color="auto"/>
            <w:right w:val="none" w:sz="0" w:space="0" w:color="auto"/>
          </w:divBdr>
        </w:div>
        <w:div w:id="1305163299">
          <w:marLeft w:val="0"/>
          <w:marRight w:val="0"/>
          <w:marTop w:val="0"/>
          <w:marBottom w:val="101"/>
          <w:divBdr>
            <w:top w:val="none" w:sz="0" w:space="0" w:color="auto"/>
            <w:left w:val="none" w:sz="0" w:space="0" w:color="auto"/>
            <w:bottom w:val="none" w:sz="0" w:space="0" w:color="auto"/>
            <w:right w:val="none" w:sz="0" w:space="0" w:color="auto"/>
          </w:divBdr>
        </w:div>
        <w:div w:id="1797403496">
          <w:marLeft w:val="0"/>
          <w:marRight w:val="0"/>
          <w:marTop w:val="0"/>
          <w:marBottom w:val="101"/>
          <w:divBdr>
            <w:top w:val="none" w:sz="0" w:space="0" w:color="auto"/>
            <w:left w:val="none" w:sz="0" w:space="0" w:color="auto"/>
            <w:bottom w:val="none" w:sz="0" w:space="0" w:color="auto"/>
            <w:right w:val="none" w:sz="0" w:space="0" w:color="auto"/>
          </w:divBdr>
        </w:div>
        <w:div w:id="693311920">
          <w:marLeft w:val="0"/>
          <w:marRight w:val="0"/>
          <w:marTop w:val="0"/>
          <w:marBottom w:val="101"/>
          <w:divBdr>
            <w:top w:val="none" w:sz="0" w:space="0" w:color="auto"/>
            <w:left w:val="none" w:sz="0" w:space="0" w:color="auto"/>
            <w:bottom w:val="none" w:sz="0" w:space="0" w:color="auto"/>
            <w:right w:val="none" w:sz="0" w:space="0" w:color="auto"/>
          </w:divBdr>
        </w:div>
        <w:div w:id="1992905621">
          <w:marLeft w:val="0"/>
          <w:marRight w:val="0"/>
          <w:marTop w:val="0"/>
          <w:marBottom w:val="101"/>
          <w:divBdr>
            <w:top w:val="none" w:sz="0" w:space="0" w:color="auto"/>
            <w:left w:val="none" w:sz="0" w:space="0" w:color="auto"/>
            <w:bottom w:val="none" w:sz="0" w:space="0" w:color="auto"/>
            <w:right w:val="none" w:sz="0" w:space="0" w:color="auto"/>
          </w:divBdr>
        </w:div>
        <w:div w:id="408888992">
          <w:marLeft w:val="0"/>
          <w:marRight w:val="0"/>
          <w:marTop w:val="0"/>
          <w:marBottom w:val="101"/>
          <w:divBdr>
            <w:top w:val="none" w:sz="0" w:space="0" w:color="auto"/>
            <w:left w:val="none" w:sz="0" w:space="0" w:color="auto"/>
            <w:bottom w:val="none" w:sz="0" w:space="0" w:color="auto"/>
            <w:right w:val="none" w:sz="0" w:space="0" w:color="auto"/>
          </w:divBdr>
        </w:div>
        <w:div w:id="1529946454">
          <w:marLeft w:val="0"/>
          <w:marRight w:val="0"/>
          <w:marTop w:val="101"/>
          <w:marBottom w:val="101"/>
          <w:divBdr>
            <w:top w:val="none" w:sz="0" w:space="0" w:color="auto"/>
            <w:left w:val="none" w:sz="0" w:space="0" w:color="auto"/>
            <w:bottom w:val="none" w:sz="0" w:space="0" w:color="auto"/>
            <w:right w:val="none" w:sz="0" w:space="0" w:color="auto"/>
          </w:divBdr>
        </w:div>
        <w:div w:id="1670014939">
          <w:marLeft w:val="0"/>
          <w:marRight w:val="0"/>
          <w:marTop w:val="0"/>
          <w:marBottom w:val="101"/>
          <w:divBdr>
            <w:top w:val="none" w:sz="0" w:space="0" w:color="auto"/>
            <w:left w:val="none" w:sz="0" w:space="0" w:color="auto"/>
            <w:bottom w:val="none" w:sz="0" w:space="0" w:color="auto"/>
            <w:right w:val="none" w:sz="0" w:space="0" w:color="auto"/>
          </w:divBdr>
        </w:div>
        <w:div w:id="1859461683">
          <w:marLeft w:val="0"/>
          <w:marRight w:val="0"/>
          <w:marTop w:val="0"/>
          <w:marBottom w:val="101"/>
          <w:divBdr>
            <w:top w:val="none" w:sz="0" w:space="0" w:color="auto"/>
            <w:left w:val="none" w:sz="0" w:space="0" w:color="auto"/>
            <w:bottom w:val="none" w:sz="0" w:space="0" w:color="auto"/>
            <w:right w:val="none" w:sz="0" w:space="0" w:color="auto"/>
          </w:divBdr>
        </w:div>
      </w:divsChild>
    </w:div>
    <w:div w:id="807479606">
      <w:bodyDiv w:val="1"/>
      <w:marLeft w:val="0"/>
      <w:marRight w:val="0"/>
      <w:marTop w:val="0"/>
      <w:marBottom w:val="0"/>
      <w:divBdr>
        <w:top w:val="none" w:sz="0" w:space="0" w:color="auto"/>
        <w:left w:val="none" w:sz="0" w:space="0" w:color="auto"/>
        <w:bottom w:val="none" w:sz="0" w:space="0" w:color="auto"/>
        <w:right w:val="none" w:sz="0" w:space="0" w:color="auto"/>
      </w:divBdr>
    </w:div>
    <w:div w:id="15299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1</cp:revision>
  <dcterms:created xsi:type="dcterms:W3CDTF">2019-12-31T15:02:00Z</dcterms:created>
  <dcterms:modified xsi:type="dcterms:W3CDTF">2019-12-31T15:04:00Z</dcterms:modified>
</cp:coreProperties>
</file>