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las cuotas compensatorias impuestas a las importaciones de placa de acero en hoja originarias de Rumania, la Federación de Rusia y Ucrania,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LAS CUOTAS COMPENSATORIAS IMPUESTAS A LAS IMPORTACIONES DE PLACA DE ACERO EN HOJA ORIGINARIAS DE RUMANIA, LA FEDERACIÓN DE RUSIA Y UCRANIA,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24/20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21 de septiembre de 2005 se publicó en el Diario Oficial de la Federación (DOF) la Resolución final de la investigación antidumping sobre las importaciones de placa de acero en hoja al carbono originarias de Rumania, la Federación de Rusia ("Rusia") y Ucrania, independientemente del país de procedencia (la "Resolución Final").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Mediante dicha Resolución, la Secretaría impuso cuotas compensatorias definitivas a las importaciones de placa de acero en hoja al carbono con espesor de hasta 4.5 pulgadas, ancho de hasta 120 pulgadas y peso unitario de hasta 6,250 kilogramos, en los siguientes términos:</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67.6% para las originarias de Rumania;</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36.8% para las originarias de Rusia, y</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60.1% para las originarias de Ucrania.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No está sujeta al pago de las cuotas compensatorias la placa de acero en hoja que cumpla con las características y las condiciones señaladas en los puntos 374 y 375 de la Resolución Final.</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 y revisión de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12 de marzo de 2012 se publicó en el DOF la Resolución final del primer examen de vigencia y de la revisión de oficio de las cuotas compensatorias. Se determinó mantenerlas vigentes por cinco años más.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7 de septiembre de 2016 se publicó en el DOF la Resolución final del segundo examen de vigencia de las cuotas compensatorias. Se determinó mantenerlas vigentes por cinco años más.</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Elusión de cuotas compensatorias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8 de enero de 2014 se publicó en el DOF la Resolución final de la investigación sobre elusión del pago de las cuotas compensatorias impuestas a las importaciones de placa de acero en hoja al carbono originarias de Rusia y Ucrania, independientemente del país de procedencia, mediante la cual se determinó la aplicación de las cuotas compensatorias de 36.8% y 60.1% a las importaciones de placa de acero en hoja al carbono con un contenido de boro igual o superior a 0.0008%, producto de acero en forma rectangular suministrado en condiciones de rolado con o sin orilla de molino, con espesor de hasta 4.5 pulgadas, ancho de hasta 120 pulgadas, largo hasta de 480 pulgadas y peso unitario de hasta 6,250 kilogramos, que ingresan por las fracciones arancelarias 7225.40.01 y 7225.40.02 de la Tarifa de la Ley de los Impuestos Generales de Importación y de Exportación (TIGIE).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Aviso sobre la vigencia de cuotas compensatorias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placa de acero en hoja originaria de Rumania, Rusia y Ucrania, objeto de este examen.</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Manifestación de interés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14 de agosto de 2020 Altos Hornos de México, S.A.B. de C.V. (AHMSA) manifestó su interés en que la Secretaría inicie el examen de vigencia de las cuotas compensatorias definitivas impuestas a las importaciones de placa de acero en hoja originarias de Rumania, Rusia y Ucrania. Propuso como periodo de examen el comprendido de julio de 2019 a junio de 2020.</w:t>
      </w:r>
    </w:p>
    <w:p w:rsidR="00000000" w:rsidDel="00000000" w:rsidP="00000000" w:rsidRDefault="00000000" w:rsidRPr="00000000" w14:paraId="0000001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AHMSA es una empresa constituida conforme a las leyes mexicanas. Su principal actividad consiste,</w:t>
      </w:r>
    </w:p>
    <w:p w:rsidR="00000000" w:rsidDel="00000000" w:rsidP="00000000" w:rsidRDefault="00000000" w:rsidRPr="00000000" w14:paraId="0000001A">
      <w:pPr>
        <w:shd w:fill="ffffff" w:val="clear"/>
        <w:spacing w:after="60" w:lineRule="auto"/>
        <w:jc w:val="both"/>
        <w:rPr>
          <w:color w:val="2f2f2f"/>
          <w:sz w:val="18"/>
          <w:szCs w:val="18"/>
        </w:rPr>
      </w:pPr>
      <w:r w:rsidDel="00000000" w:rsidR="00000000" w:rsidRPr="00000000">
        <w:rPr>
          <w:color w:val="2f2f2f"/>
          <w:sz w:val="18"/>
          <w:szCs w:val="18"/>
          <w:rtl w:val="0"/>
        </w:rPr>
        <w:t xml:space="preserve">entre otras, en la producción, transformación y comercialización de diversos productos siderúrgicos, entre ellos, la placa de acero en hoja. Para acreditar su calidad de productora nacional de placa de acero en hoja, presentó una carta de la Cámara Nacional de la Industria del Hierro y del Acero (CANACERO) del 12 de agosto de 2020, que así lo acredita.</w:t>
      </w:r>
    </w:p>
    <w:p w:rsidR="00000000" w:rsidDel="00000000" w:rsidP="00000000" w:rsidRDefault="00000000" w:rsidRPr="00000000" w14:paraId="0000001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C">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producto objeto de examen es la placa de acero en hoja al carbono sin alear y aleada con un contenido de boro, igual o superior a 0.0008%, producto de acero en forma rectangular suministrado en condiciones de rolado con o sin orilla de molino, con espesor de hasta 4.5 pulgadas, ancho de hasta 120 pulgadas, largo hasta de 480 pulgadas y peso unitario de hasta 6,250 kilogramos. Comercialmente se le conoce como placa o plancha de acero cortada en hoja y, en inglés, como "plate", "medium plate", "heavy plate", "hot rolled carbon steel plate" o "cut-to-length steel plate".</w:t>
      </w:r>
    </w:p>
    <w:p w:rsidR="00000000" w:rsidDel="00000000" w:rsidP="00000000" w:rsidRDefault="00000000" w:rsidRPr="00000000" w14:paraId="0000001E">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producto objeto de examen ingresa al mercado nacional a través de las fracciones arancelarias 7208.51.01, 7208.51.02, 7208.51.03, 7208.52.01, 7225.40.01 y 7225.40.02 de la TIGIE, cuya descripción es la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3.3627375525427"/>
        <w:gridCol w:w="7982.149073471081"/>
        <w:tblGridChange w:id="0">
          <w:tblGrid>
            <w:gridCol w:w="1043.3627375525427"/>
            <w:gridCol w:w="7982.149073471081"/>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0">
            <w:pPr>
              <w:spacing w:after="60" w:lineRule="auto"/>
              <w:ind w:left="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21">
            <w:pPr>
              <w:spacing w:after="6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2">
            <w:pPr>
              <w:spacing w:after="6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6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60" w:lineRule="auto"/>
              <w:ind w:left="80" w:firstLine="0"/>
              <w:jc w:val="both"/>
              <w:rPr>
                <w:sz w:val="18"/>
                <w:szCs w:val="18"/>
              </w:rPr>
            </w:pPr>
            <w:r w:rsidDel="00000000" w:rsidR="00000000" w:rsidRPr="00000000">
              <w:rPr>
                <w:sz w:val="18"/>
                <w:szCs w:val="18"/>
                <w:rtl w:val="0"/>
              </w:rPr>
              <w:t xml:space="preserve">Fundición, hierro y acero</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60" w:lineRule="auto"/>
              <w:ind w:left="80" w:firstLine="0"/>
              <w:jc w:val="both"/>
              <w:rPr>
                <w:sz w:val="18"/>
                <w:szCs w:val="18"/>
              </w:rPr>
            </w:pPr>
            <w:r w:rsidDel="00000000" w:rsidR="00000000" w:rsidRPr="00000000">
              <w:rPr>
                <w:sz w:val="18"/>
                <w:szCs w:val="18"/>
                <w:rtl w:val="0"/>
              </w:rPr>
              <w:t xml:space="preserve">Partida: 7208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60" w:lineRule="auto"/>
              <w:ind w:left="80" w:firstLine="0"/>
              <w:jc w:val="both"/>
              <w:rPr>
                <w:sz w:val="18"/>
                <w:szCs w:val="18"/>
              </w:rPr>
            </w:pPr>
            <w:r w:rsidDel="00000000" w:rsidR="00000000" w:rsidRPr="00000000">
              <w:rPr>
                <w:sz w:val="18"/>
                <w:szCs w:val="18"/>
                <w:rtl w:val="0"/>
              </w:rPr>
              <w:t xml:space="preserve">Productos laminados planos de hierro o acero sin alear, de anchura superior o igual a 600 mm, laminados en caliente, sin chapar ni revestir.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60" w:lineRule="auto"/>
              <w:ind w:left="80" w:firstLine="0"/>
              <w:jc w:val="both"/>
              <w:rPr>
                <w:sz w:val="18"/>
                <w:szCs w:val="18"/>
              </w:rPr>
            </w:pPr>
            <w:r w:rsidDel="00000000" w:rsidR="00000000" w:rsidRPr="00000000">
              <w:rPr>
                <w:sz w:val="18"/>
                <w:szCs w:val="18"/>
                <w:rtl w:val="0"/>
              </w:rPr>
              <w:t xml:space="preserve">- Los demás, sin enrollar, simplemente laminados en caliente: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60" w:lineRule="auto"/>
              <w:ind w:left="80" w:firstLine="0"/>
              <w:jc w:val="both"/>
              <w:rPr>
                <w:sz w:val="18"/>
                <w:szCs w:val="18"/>
              </w:rPr>
            </w:pPr>
            <w:r w:rsidDel="00000000" w:rsidR="00000000" w:rsidRPr="00000000">
              <w:rPr>
                <w:sz w:val="18"/>
                <w:szCs w:val="18"/>
                <w:rtl w:val="0"/>
              </w:rPr>
              <w:t xml:space="preserve">Subpartida: 7208.51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60" w:lineRule="auto"/>
              <w:ind w:left="80" w:firstLine="0"/>
              <w:jc w:val="both"/>
              <w:rPr>
                <w:sz w:val="18"/>
                <w:szCs w:val="18"/>
              </w:rPr>
            </w:pPr>
            <w:r w:rsidDel="00000000" w:rsidR="00000000" w:rsidRPr="00000000">
              <w:rPr>
                <w:sz w:val="18"/>
                <w:szCs w:val="18"/>
                <w:rtl w:val="0"/>
              </w:rPr>
              <w:t xml:space="preserve">-- De espesor superior a 10 mm.</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B">
            <w:pPr>
              <w:spacing w:after="60" w:lineRule="auto"/>
              <w:ind w:left="80" w:firstLine="0"/>
              <w:jc w:val="both"/>
              <w:rPr>
                <w:sz w:val="18"/>
                <w:szCs w:val="18"/>
              </w:rPr>
            </w:pPr>
            <w:r w:rsidDel="00000000" w:rsidR="00000000" w:rsidRPr="00000000">
              <w:rPr>
                <w:sz w:val="18"/>
                <w:szCs w:val="18"/>
                <w:rtl w:val="0"/>
              </w:rPr>
              <w:t xml:space="preserve">Fracción: 7208.51.01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C">
            <w:pPr>
              <w:spacing w:after="60" w:lineRule="auto"/>
              <w:ind w:left="80" w:firstLine="0"/>
              <w:jc w:val="both"/>
              <w:rPr>
                <w:sz w:val="18"/>
                <w:szCs w:val="18"/>
              </w:rPr>
            </w:pPr>
            <w:r w:rsidDel="00000000" w:rsidR="00000000" w:rsidRPr="00000000">
              <w:rPr>
                <w:sz w:val="18"/>
                <w:szCs w:val="18"/>
                <w:rtl w:val="0"/>
              </w:rPr>
              <w:t xml:space="preserve">De espesor superior a 10 mm, excepto lo comprendido en las fracciones 7208.51.02 y 7208.51.03.</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D">
            <w:pPr>
              <w:spacing w:after="60" w:lineRule="auto"/>
              <w:ind w:left="80" w:firstLine="0"/>
              <w:jc w:val="both"/>
              <w:rPr>
                <w:sz w:val="18"/>
                <w:szCs w:val="18"/>
              </w:rPr>
            </w:pPr>
            <w:r w:rsidDel="00000000" w:rsidR="00000000" w:rsidRPr="00000000">
              <w:rPr>
                <w:sz w:val="18"/>
                <w:szCs w:val="18"/>
                <w:rtl w:val="0"/>
              </w:rPr>
              <w:t xml:space="preserve">Fracción: 7208.51.02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E">
            <w:pPr>
              <w:spacing w:after="60" w:lineRule="auto"/>
              <w:ind w:left="80" w:firstLine="0"/>
              <w:jc w:val="both"/>
              <w:rPr>
                <w:sz w:val="18"/>
                <w:szCs w:val="18"/>
              </w:rPr>
            </w:pPr>
            <w:r w:rsidDel="00000000" w:rsidR="00000000" w:rsidRPr="00000000">
              <w:rPr>
                <w:sz w:val="18"/>
                <w:szCs w:val="18"/>
                <w:rtl w:val="0"/>
              </w:rPr>
              <w:t xml:space="preserve">Placas de acero de espesor superior a 10 mm, grados SHT-80, SHT-110, AR-400, SMM-400 o A-516.</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F">
            <w:pPr>
              <w:spacing w:after="60" w:lineRule="auto"/>
              <w:ind w:left="80" w:firstLine="0"/>
              <w:jc w:val="both"/>
              <w:rPr>
                <w:sz w:val="18"/>
                <w:szCs w:val="18"/>
              </w:rPr>
            </w:pPr>
            <w:r w:rsidDel="00000000" w:rsidR="00000000" w:rsidRPr="00000000">
              <w:rPr>
                <w:sz w:val="18"/>
                <w:szCs w:val="18"/>
                <w:rtl w:val="0"/>
              </w:rPr>
              <w:t xml:space="preserve">Fracción: 7208.51.03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0">
            <w:pPr>
              <w:spacing w:after="60" w:lineRule="auto"/>
              <w:ind w:left="80" w:firstLine="0"/>
              <w:jc w:val="both"/>
              <w:rPr>
                <w:sz w:val="18"/>
                <w:szCs w:val="18"/>
              </w:rPr>
            </w:pPr>
            <w:r w:rsidDel="00000000" w:rsidR="00000000" w:rsidRPr="00000000">
              <w:rPr>
                <w:sz w:val="18"/>
                <w:szCs w:val="18"/>
                <w:rtl w:val="0"/>
              </w:rPr>
              <w:t xml:space="preserve">Placas de acero de espesor superior a 70 mm, grado A-36.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60" w:lineRule="auto"/>
              <w:ind w:left="80" w:firstLine="0"/>
              <w:jc w:val="both"/>
              <w:rPr>
                <w:sz w:val="18"/>
                <w:szCs w:val="18"/>
              </w:rPr>
            </w:pPr>
            <w:r w:rsidDel="00000000" w:rsidR="00000000" w:rsidRPr="00000000">
              <w:rPr>
                <w:sz w:val="18"/>
                <w:szCs w:val="18"/>
                <w:rtl w:val="0"/>
              </w:rPr>
              <w:t xml:space="preserve">Subpartida: 7208.52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60" w:lineRule="auto"/>
              <w:ind w:left="80" w:firstLine="0"/>
              <w:jc w:val="both"/>
              <w:rPr>
                <w:sz w:val="18"/>
                <w:szCs w:val="18"/>
              </w:rPr>
            </w:pPr>
            <w:r w:rsidDel="00000000" w:rsidR="00000000" w:rsidRPr="00000000">
              <w:rPr>
                <w:sz w:val="18"/>
                <w:szCs w:val="18"/>
                <w:rtl w:val="0"/>
              </w:rPr>
              <w:t xml:space="preserve">-- De espesor superior o igual a 4.75 mm pero inferior o igual a 10 mm.</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3">
            <w:pPr>
              <w:spacing w:after="60" w:lineRule="auto"/>
              <w:ind w:left="80" w:firstLine="0"/>
              <w:jc w:val="both"/>
              <w:rPr>
                <w:sz w:val="18"/>
                <w:szCs w:val="18"/>
              </w:rPr>
            </w:pPr>
            <w:r w:rsidDel="00000000" w:rsidR="00000000" w:rsidRPr="00000000">
              <w:rPr>
                <w:sz w:val="18"/>
                <w:szCs w:val="18"/>
                <w:rtl w:val="0"/>
              </w:rPr>
              <w:t xml:space="preserve">Fracción: 7208.52.01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4">
            <w:pPr>
              <w:spacing w:after="60" w:lineRule="auto"/>
              <w:ind w:left="80" w:firstLine="0"/>
              <w:jc w:val="both"/>
              <w:rPr>
                <w:sz w:val="18"/>
                <w:szCs w:val="18"/>
              </w:rPr>
            </w:pPr>
            <w:r w:rsidDel="00000000" w:rsidR="00000000" w:rsidRPr="00000000">
              <w:rPr>
                <w:sz w:val="18"/>
                <w:szCs w:val="18"/>
                <w:rtl w:val="0"/>
              </w:rPr>
              <w:t xml:space="preserve">De espesor superior o igual a 4.75 mm pero inferior o igual a 10 mm.</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60" w:lineRule="auto"/>
              <w:ind w:left="80" w:firstLine="0"/>
              <w:jc w:val="both"/>
              <w:rPr>
                <w:sz w:val="18"/>
                <w:szCs w:val="18"/>
              </w:rPr>
            </w:pPr>
            <w:r w:rsidDel="00000000" w:rsidR="00000000" w:rsidRPr="00000000">
              <w:rPr>
                <w:sz w:val="18"/>
                <w:szCs w:val="18"/>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60" w:lineRule="auto"/>
              <w:ind w:left="80" w:firstLine="0"/>
              <w:jc w:val="both"/>
              <w:rPr>
                <w:sz w:val="18"/>
                <w:szCs w:val="18"/>
              </w:rPr>
            </w:pPr>
            <w:r w:rsidDel="00000000" w:rsidR="00000000" w:rsidRPr="00000000">
              <w:rPr>
                <w:sz w:val="18"/>
                <w:szCs w:val="18"/>
                <w:rtl w:val="0"/>
              </w:rPr>
              <w:t xml:space="preserve">Productos laminados planos de los demás aceros aleados, de anchura superior o igual a 600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60" w:lineRule="auto"/>
              <w:ind w:left="80" w:firstLine="0"/>
              <w:jc w:val="both"/>
              <w:rPr>
                <w:sz w:val="18"/>
                <w:szCs w:val="18"/>
              </w:rPr>
            </w:pPr>
            <w:r w:rsidDel="00000000" w:rsidR="00000000" w:rsidRPr="00000000">
              <w:rPr>
                <w:sz w:val="18"/>
                <w:szCs w:val="18"/>
                <w:rtl w:val="0"/>
              </w:rPr>
              <w:t xml:space="preserve">Subpartida: 7225.40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60" w:lineRule="auto"/>
              <w:ind w:left="80" w:firstLine="0"/>
              <w:jc w:val="both"/>
              <w:rPr>
                <w:sz w:val="18"/>
                <w:szCs w:val="18"/>
              </w:rPr>
            </w:pPr>
            <w:r w:rsidDel="00000000" w:rsidR="00000000" w:rsidRPr="00000000">
              <w:rPr>
                <w:sz w:val="18"/>
                <w:szCs w:val="18"/>
                <w:rtl w:val="0"/>
              </w:rPr>
              <w:t xml:space="preserve">- Los demás, simplemente laminados en caliente, sin enrollar.</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9">
            <w:pPr>
              <w:spacing w:after="60" w:lineRule="auto"/>
              <w:ind w:left="80" w:firstLine="0"/>
              <w:jc w:val="both"/>
              <w:rPr>
                <w:sz w:val="18"/>
                <w:szCs w:val="18"/>
              </w:rPr>
            </w:pPr>
            <w:r w:rsidDel="00000000" w:rsidR="00000000" w:rsidRPr="00000000">
              <w:rPr>
                <w:sz w:val="18"/>
                <w:szCs w:val="18"/>
                <w:rtl w:val="0"/>
              </w:rPr>
              <w:t xml:space="preserve">Fracción: 7225.40.01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A">
            <w:pPr>
              <w:spacing w:after="60" w:lineRule="auto"/>
              <w:ind w:left="80" w:firstLine="0"/>
              <w:jc w:val="both"/>
              <w:rPr>
                <w:sz w:val="18"/>
                <w:szCs w:val="18"/>
              </w:rPr>
            </w:pPr>
            <w:r w:rsidDel="00000000" w:rsidR="00000000" w:rsidRPr="00000000">
              <w:rPr>
                <w:sz w:val="18"/>
                <w:szCs w:val="18"/>
                <w:rtl w:val="0"/>
              </w:rPr>
              <w:t xml:space="preserve">Con un contenido de boro igual o superior a 0.0008%, de espesor superior a 10 mm, excepto lo comprendido en la fracción 7225.40.07.</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B">
            <w:pPr>
              <w:spacing w:after="60" w:lineRule="auto"/>
              <w:ind w:left="80" w:firstLine="0"/>
              <w:jc w:val="both"/>
              <w:rPr>
                <w:sz w:val="18"/>
                <w:szCs w:val="18"/>
              </w:rPr>
            </w:pPr>
            <w:r w:rsidDel="00000000" w:rsidR="00000000" w:rsidRPr="00000000">
              <w:rPr>
                <w:sz w:val="18"/>
                <w:szCs w:val="18"/>
                <w:rtl w:val="0"/>
              </w:rPr>
              <w:t xml:space="preserve">Fracción: 7225.40.02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C">
            <w:pPr>
              <w:spacing w:after="60" w:lineRule="auto"/>
              <w:ind w:left="80" w:firstLine="0"/>
              <w:jc w:val="both"/>
              <w:rPr>
                <w:sz w:val="18"/>
                <w:szCs w:val="18"/>
              </w:rPr>
            </w:pPr>
            <w:r w:rsidDel="00000000" w:rsidR="00000000" w:rsidRPr="00000000">
              <w:rPr>
                <w:sz w:val="18"/>
                <w:szCs w:val="18"/>
                <w:rtl w:val="0"/>
              </w:rPr>
              <w:t xml:space="preserve">Con un contenido de boro igual o superior a 0.0008%, de espesor superior o igual a 4.75 mm, pero inferior o igual a 10 mm, excepto lo comprendido en la fracción 7225.40.07.</w:t>
            </w:r>
          </w:p>
        </w:tc>
      </w:tr>
    </w:tbl>
    <w:p w:rsidR="00000000" w:rsidDel="00000000" w:rsidP="00000000" w:rsidRDefault="00000000" w:rsidRPr="00000000" w14:paraId="0000003D">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unidad de medida que utiliza la TIGIE es el kilogramo. Las operaciones comerciales se realizan normalmente en toneladas métricas.</w:t>
      </w:r>
    </w:p>
    <w:p w:rsidR="00000000" w:rsidDel="00000000" w:rsidP="00000000" w:rsidRDefault="00000000" w:rsidRPr="00000000" w14:paraId="0000003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De acuerdo con el SIAVI, las importaciones que ingresan por las fracciones arancelarias 7208.51.01, 7208.51.02, 7208.51.03, 7208.52.01, 7225.40.01 y 7225.40.02 de la TIGIE están sujetas a un arancel del 15%, aplicable a partir del 22 de septiembre de 2019, en virtud del "Decreto por el que se modifica la Tarifa de la Ley de los Impuestos Generales de Importación y de Exportación", publicado en el DOF el 20 de septiembre de 2019. Las importaciones originarias de países con los que México ha celebrado tratados de libre comercio están exentas de arancel.</w:t>
      </w:r>
    </w:p>
    <w:p w:rsidR="00000000" w:rsidDel="00000000" w:rsidP="00000000" w:rsidRDefault="00000000" w:rsidRPr="00000000" w14:paraId="0000004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7208.51.01, 7208.51.02, 7208.51.03, 7208.52.01, 7225.40.01 y 7225.40.02 de la TIGIE, para efectos de monitoreo estadístico comercial cuando se destinen al régimen aduanero de importación definitiva.</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El producto objeto de examen se fabrica con aceros al carbón o comerciales, que constituyen la mayor parte de la producción siderúrgica del mundo, constituidos básicamente por mineral de fierro, carbón, ferroaleaciones y un contenido de boro igual o superior a 0.0008%.</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El proceso para la producción de la placa de acero en hoja objeto de examen se lleva a cabo mediante las etapas de extracción y beneficio de las materias primas, producción del acero líquido y laminación. La extracción y beneficio del mineral y la laminación son similares en el mundo y varían únicamente en el grado de automatización.</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 placa de acero en hoja se obtiene de la siguiente manera: en el proceso de fundición y aceración de la materia prima se introduce chatarra o fierro esponja a un horno eléctrico o un Alto Horno Básico al Oxígeno (AH-BOF, por las siglas en inglés de "Basic Oxygen Furnace") para obtener el arrabio o hierro fundido.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El arrabio se introduce al horno de aceración BOF (olla llamada convertidor) en donde, mediante la adición de oxígeno, se reduce el contenido de carbono hasta obtener aceros al carbón o comerciales. Se agregan ferroaleaciones para alcanzar el acero con las características físicas y químicas requeridas, entre ellas, el boro. El acero líquido se lleva a la máquina de colada continua para producir planchones, que se conducen a molinos en los que, por medio de castillos y rodillos, se laminan hasta obtener placa o plancha laminada en caliente con los espesores y anchos requeridos.</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placa de acero en hoja se fabrica conforme a las normas de la Sociedad Estadounidense de Ingenieros Mecánicos (ASME, por las siglas en inglés de "American Society of Mechanical Engineers"), de la Sociedad de Ingenieros Automotrices (SAE, por las siglas en inglés de "Society of Automotive Engineers"), de los estándares aplicados por la Comunidad de Estados Independientes (GOST, por las siglas en ruso de "Gosudarstvenny Standart"), del Instituto Alemán de Normalización (DIN, por las siglas en alemán de "Deustches Institut für Normung") y la ASTM-Designation A 36 / A 36M de la Sociedad Americana para Pruebas y Materiales (ASTM, por las siglas en inglés de "American Society for Testing and Materials"), que se aplica a los perfiles, placas y barras de acero al carbono de calidad estructural para usar en construcción remachada, atornillada o soldada, en puentes y edificios y para propósitos estructurales generales. No hay normas técnicas obligatorias para los productos de acero que se comercializan en el mercado nacional, pero son una referencia que utiliza el cliente para establecer las características físicas y químicas del producto que solicita.</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Usos y funciones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El producto objeto de examen es un insumo que se utiliza para fabricar bienes intermedios y de capital, tales como tanques a presión, calderas, discos de arado, cuchillas, piezas de maquinaria y tubería, entre muchos otros productos.</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Posibles partes interesadas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 nacional</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Altos Hornos de México, S. A. B. de C.V.</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Av. Campos Elíseos No. 29, piso 4</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Col. Rincón del Bosque</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Abinsa, S.A. de C.V.</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Avenida Adolfo López Mateos Km. 6.5</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Col. Jardines de Casa Blanca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66400, San Nicolás de los Garza, Nuevo León</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ATV Metal, S. de R.L. de C.V.</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Industrial No. 3150</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Zona Industrial</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25750, Monclova, Coahuila</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Equipos de Acuña, S.A. de C.V.</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Carretera Presa La Amistad S/N</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Parque Industrial Modelo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26260, Acuña, Coahuila</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Ferrecabsa, S.A. de C.V.</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Avenida Pantitlán S/N</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Col. Tecamachalco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56500, Los Reyes La Paz, Estado de México</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Grupo Collado, S.A. de C.V.</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Gavilán No. 200</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Col. Guadalupe del Moral</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09300, Ciudad de México</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Industrial Mexicana del Hierro y el Acero, S.A. de C.V.</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Julio Díaz Torre No. 206</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Fracc. Ciudad Industrial</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20290, Aguascalientes, Aguascalientes</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Lámina y Placa de Monterrey, S.A. de C.V.</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Avenida Ocampo No. 250 Pte., piso 6, Letra B</w:t>
      </w:r>
    </w:p>
    <w:p w:rsidR="00000000" w:rsidDel="00000000" w:rsidP="00000000" w:rsidRDefault="00000000" w:rsidRPr="00000000" w14:paraId="0000006E">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64000, San Nicolás de los Garza, Nuevo León</w:t>
      </w:r>
    </w:p>
    <w:p w:rsidR="00000000" w:rsidDel="00000000" w:rsidP="00000000" w:rsidRDefault="00000000" w:rsidRPr="00000000" w14:paraId="00000070">
      <w:pPr>
        <w:shd w:fill="ffffff" w:val="clear"/>
        <w:ind w:firstLine="280"/>
        <w:jc w:val="both"/>
        <w:rPr>
          <w:color w:val="2f2f2f"/>
          <w:sz w:val="18"/>
          <w:szCs w:val="18"/>
        </w:rPr>
      </w:pPr>
      <w:r w:rsidDel="00000000" w:rsidR="00000000" w:rsidRPr="00000000">
        <w:rPr>
          <w:color w:val="2f2f2f"/>
          <w:sz w:val="18"/>
          <w:szCs w:val="18"/>
          <w:rtl w:val="0"/>
        </w:rPr>
        <w:t xml:space="preserve">Swac Mmix, S.A. de C.V.</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Isidro Fabela Norte No. 825</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Col. Santiago Miltepec</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50020, Toluca, Estado de México</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Exportadora</w:t>
      </w:r>
    </w:p>
    <w:p w:rsidR="00000000" w:rsidDel="00000000" w:rsidP="00000000" w:rsidRDefault="00000000" w:rsidRPr="00000000" w14:paraId="00000075">
      <w:pPr>
        <w:shd w:fill="ffffff" w:val="clear"/>
        <w:ind w:firstLine="280"/>
        <w:jc w:val="both"/>
        <w:rPr>
          <w:color w:val="2f2f2f"/>
          <w:sz w:val="18"/>
          <w:szCs w:val="18"/>
        </w:rPr>
      </w:pPr>
      <w:r w:rsidDel="00000000" w:rsidR="00000000" w:rsidRPr="00000000">
        <w:rPr>
          <w:color w:val="2f2f2f"/>
          <w:sz w:val="18"/>
          <w:szCs w:val="18"/>
          <w:rtl w:val="0"/>
        </w:rPr>
        <w:t xml:space="preserve">Metinvest International, S.A.</w:t>
      </w:r>
    </w:p>
    <w:p w:rsidR="00000000" w:rsidDel="00000000" w:rsidP="00000000" w:rsidRDefault="00000000" w:rsidRPr="00000000" w14:paraId="00000076">
      <w:pPr>
        <w:shd w:fill="ffffff" w:val="clear"/>
        <w:ind w:firstLine="280"/>
        <w:jc w:val="both"/>
        <w:rPr>
          <w:color w:val="2f2f2f"/>
          <w:sz w:val="18"/>
          <w:szCs w:val="18"/>
        </w:rPr>
      </w:pPr>
      <w:r w:rsidDel="00000000" w:rsidR="00000000" w:rsidRPr="00000000">
        <w:rPr>
          <w:color w:val="2f2f2f"/>
          <w:sz w:val="18"/>
          <w:szCs w:val="18"/>
          <w:rtl w:val="0"/>
        </w:rPr>
        <w:t xml:space="preserve">2, Rue Vallin, 1201</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Ginebra, Suiza</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Gobierno</w:t>
      </w:r>
    </w:p>
    <w:p w:rsidR="00000000" w:rsidDel="00000000" w:rsidP="00000000" w:rsidRDefault="00000000" w:rsidRPr="00000000" w14:paraId="00000079">
      <w:pPr>
        <w:shd w:fill="ffffff" w:val="clear"/>
        <w:ind w:firstLine="280"/>
        <w:jc w:val="both"/>
        <w:rPr>
          <w:color w:val="2f2f2f"/>
          <w:sz w:val="18"/>
          <w:szCs w:val="18"/>
        </w:rPr>
      </w:pPr>
      <w:r w:rsidDel="00000000" w:rsidR="00000000" w:rsidRPr="00000000">
        <w:rPr>
          <w:color w:val="2f2f2f"/>
          <w:sz w:val="18"/>
          <w:szCs w:val="18"/>
          <w:rtl w:val="0"/>
        </w:rPr>
        <w:t xml:space="preserve">Embajada de Rumania en México</w:t>
      </w:r>
    </w:p>
    <w:p w:rsidR="00000000" w:rsidDel="00000000" w:rsidP="00000000" w:rsidRDefault="00000000" w:rsidRPr="00000000" w14:paraId="0000007A">
      <w:pPr>
        <w:shd w:fill="ffffff" w:val="clear"/>
        <w:ind w:firstLine="280"/>
        <w:jc w:val="both"/>
        <w:rPr>
          <w:color w:val="2f2f2f"/>
          <w:sz w:val="18"/>
          <w:szCs w:val="18"/>
        </w:rPr>
      </w:pPr>
      <w:r w:rsidDel="00000000" w:rsidR="00000000" w:rsidRPr="00000000">
        <w:rPr>
          <w:color w:val="2f2f2f"/>
          <w:sz w:val="18"/>
          <w:szCs w:val="18"/>
          <w:rtl w:val="0"/>
        </w:rPr>
        <w:t xml:space="preserve">Sófocles No. 311</w:t>
      </w:r>
    </w:p>
    <w:p w:rsidR="00000000" w:rsidDel="00000000" w:rsidP="00000000" w:rsidRDefault="00000000" w:rsidRPr="00000000" w14:paraId="0000007B">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7D">
      <w:pPr>
        <w:shd w:fill="ffffff" w:val="clear"/>
        <w:ind w:firstLine="280"/>
        <w:jc w:val="both"/>
        <w:rPr>
          <w:color w:val="2f2f2f"/>
          <w:sz w:val="18"/>
          <w:szCs w:val="18"/>
        </w:rPr>
      </w:pPr>
      <w:r w:rsidDel="00000000" w:rsidR="00000000" w:rsidRPr="00000000">
        <w:rPr>
          <w:color w:val="2f2f2f"/>
          <w:sz w:val="18"/>
          <w:szCs w:val="18"/>
          <w:rtl w:val="0"/>
        </w:rPr>
        <w:t xml:space="preserve">Embajada de Rusia en México</w:t>
      </w:r>
    </w:p>
    <w:p w:rsidR="00000000" w:rsidDel="00000000" w:rsidP="00000000" w:rsidRDefault="00000000" w:rsidRPr="00000000" w14:paraId="0000007E">
      <w:pPr>
        <w:shd w:fill="ffffff" w:val="clear"/>
        <w:ind w:firstLine="280"/>
        <w:jc w:val="both"/>
        <w:rPr>
          <w:color w:val="2f2f2f"/>
          <w:sz w:val="18"/>
          <w:szCs w:val="18"/>
        </w:rPr>
      </w:pPr>
      <w:r w:rsidDel="00000000" w:rsidR="00000000" w:rsidRPr="00000000">
        <w:rPr>
          <w:color w:val="2f2f2f"/>
          <w:sz w:val="18"/>
          <w:szCs w:val="18"/>
          <w:rtl w:val="0"/>
        </w:rPr>
        <w:t xml:space="preserve">Av. José Vasconcelos No. 204</w:t>
      </w:r>
    </w:p>
    <w:p w:rsidR="00000000" w:rsidDel="00000000" w:rsidP="00000000" w:rsidRDefault="00000000" w:rsidRPr="00000000" w14:paraId="0000007F">
      <w:pPr>
        <w:shd w:fill="ffffff" w:val="clear"/>
        <w:ind w:firstLine="280"/>
        <w:jc w:val="both"/>
        <w:rPr>
          <w:color w:val="2f2f2f"/>
          <w:sz w:val="18"/>
          <w:szCs w:val="18"/>
        </w:rPr>
      </w:pPr>
      <w:r w:rsidDel="00000000" w:rsidR="00000000" w:rsidRPr="00000000">
        <w:rPr>
          <w:color w:val="2f2f2f"/>
          <w:sz w:val="18"/>
          <w:szCs w:val="18"/>
          <w:rtl w:val="0"/>
        </w:rPr>
        <w:t xml:space="preserve">Col. Hipódromo Condesa</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06140, Ciudad de México</w:t>
      </w:r>
    </w:p>
    <w:p w:rsidR="00000000" w:rsidDel="00000000" w:rsidP="00000000" w:rsidRDefault="00000000" w:rsidRPr="00000000" w14:paraId="00000081">
      <w:pPr>
        <w:shd w:fill="ffffff" w:val="clear"/>
        <w:ind w:firstLine="280"/>
        <w:jc w:val="both"/>
        <w:rPr>
          <w:color w:val="2f2f2f"/>
          <w:sz w:val="18"/>
          <w:szCs w:val="18"/>
        </w:rPr>
      </w:pPr>
      <w:r w:rsidDel="00000000" w:rsidR="00000000" w:rsidRPr="00000000">
        <w:rPr>
          <w:color w:val="2f2f2f"/>
          <w:sz w:val="18"/>
          <w:szCs w:val="18"/>
          <w:rtl w:val="0"/>
        </w:rPr>
        <w:t xml:space="preserve">Embajada de Ucrania en México</w:t>
      </w:r>
    </w:p>
    <w:p w:rsidR="00000000" w:rsidDel="00000000" w:rsidP="00000000" w:rsidRDefault="00000000" w:rsidRPr="00000000" w14:paraId="00000082">
      <w:pPr>
        <w:shd w:fill="ffffff" w:val="clear"/>
        <w:ind w:firstLine="280"/>
        <w:jc w:val="both"/>
        <w:rPr>
          <w:color w:val="2f2f2f"/>
          <w:sz w:val="18"/>
          <w:szCs w:val="18"/>
        </w:rPr>
      </w:pPr>
      <w:r w:rsidDel="00000000" w:rsidR="00000000" w:rsidRPr="00000000">
        <w:rPr>
          <w:color w:val="2f2f2f"/>
          <w:sz w:val="18"/>
          <w:szCs w:val="18"/>
          <w:rtl w:val="0"/>
        </w:rPr>
        <w:t xml:space="preserve">Paseo de la Reforma No. 730</w:t>
      </w:r>
    </w:p>
    <w:p w:rsidR="00000000" w:rsidDel="00000000" w:rsidP="00000000" w:rsidRDefault="00000000" w:rsidRPr="00000000" w14:paraId="00000083">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85">
      <w:pPr>
        <w:shd w:fill="ffffff" w:val="clear"/>
        <w:ind w:firstLine="280"/>
        <w:jc w:val="both"/>
        <w:rPr>
          <w:color w:val="2f2f2f"/>
          <w:sz w:val="18"/>
          <w:szCs w:val="18"/>
        </w:rPr>
      </w:pPr>
      <w:r w:rsidDel="00000000" w:rsidR="00000000" w:rsidRPr="00000000">
        <w:rPr>
          <w:color w:val="2f2f2f"/>
          <w:sz w:val="18"/>
          <w:szCs w:val="18"/>
          <w:rtl w:val="0"/>
        </w:rPr>
        <w:t xml:space="preserve">Delegación de la Unión Europea en México</w:t>
      </w:r>
    </w:p>
    <w:p w:rsidR="00000000" w:rsidDel="00000000" w:rsidP="00000000" w:rsidRDefault="00000000" w:rsidRPr="00000000" w14:paraId="00000086">
      <w:pPr>
        <w:shd w:fill="ffffff" w:val="clear"/>
        <w:ind w:firstLine="280"/>
        <w:jc w:val="both"/>
        <w:rPr>
          <w:color w:val="2f2f2f"/>
          <w:sz w:val="18"/>
          <w:szCs w:val="18"/>
        </w:rPr>
      </w:pPr>
      <w:r w:rsidDel="00000000" w:rsidR="00000000" w:rsidRPr="00000000">
        <w:rPr>
          <w:color w:val="2f2f2f"/>
          <w:sz w:val="18"/>
          <w:szCs w:val="18"/>
          <w:rtl w:val="0"/>
        </w:rPr>
        <w:t xml:space="preserve">Paseo de la Reforma No. 1675</w:t>
      </w:r>
    </w:p>
    <w:p w:rsidR="00000000" w:rsidDel="00000000" w:rsidP="00000000" w:rsidRDefault="00000000" w:rsidRPr="00000000" w14:paraId="00000087">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8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En el presente caso, AHMSA, en su calidad de productora nacional del producto objeto de examen, manifestó en tiempo y forma su interés en que se inicie el examen de vigencia de las cuotas compensatorias definitivas impuestas a las importaciones de placa de acero en hoja originarias de Rumania, Rusia y Ucrania, por lo que se actualizan los supuestos previstos en la legislación de la materia y, en consecuencia, procede iniciarlo.</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La Secretaría determina fijar como periodo de examen el propuesto por AHMSA, comprendido del 1 de julio de 2019 al 30 de junio de 2020 y como periodo de análisis el comprendido del 1 de julio de 2015 al 30 de junio de 2020,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Por lo expuesto, con fundamento en los artículos 11.1 y 11.3 del Acuerdo Antidumping, y 67, 70 fracción II, 70 B y 89 F de la LCE, se emite la siguiente</w:t>
      </w:r>
    </w:p>
    <w:p w:rsidR="00000000" w:rsidDel="00000000" w:rsidP="00000000" w:rsidRDefault="00000000" w:rsidRPr="00000000" w14:paraId="0000009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Se declara el inicio del procedimiento administrativo de examen de vigencia de las cuotas compensatorias definitivas impuestas a las importaciones de placa de acero en hoja originarias de Rumania, Rusia y Ucrania, independientemente del país de procedencia, que ingresan a través de las fracciones arancelarias 7208.51.01, 7208.51.02, 7208.51.03, 7208.52.01, 7225.40.01 y 7225.40.02 de la TIGIE, o por cualquier otra.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Se fija como periodo de examen el comprendido del 1 de julio de 2019 al 30 de junio de 2020 y como periodo de análisis el comprendido del 1 de julio de 2015 al 30 de junio de 2020.</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Conforme a lo establecido en los artículos 11.3 del Acuerdo Antidumping, 70 fracción II y 89 F de la LCE y 94 del RLCE, las cuotas compensatorias definitivas a que se refieren los puntos 5 y 6 de la presente Resolución, continuarán vigentes mientras se tramita el presente procedimiento de examen de vigencia.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El formulario oficial a que se refiere el punto anterior, se podrá obtener en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Notifíquese la presente Resolución a las partes de que se tenga conocimiento.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Comuníquese esta Resolución al Servicio de Administración Tributaria, para los efectos legales correspondientes.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 de septiembre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A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7peu2o90EF3BCzis36bzKjoCQ==">AMUW2mX5f0mWxF1DMnzgxnP40bL9QurUeLM5vdkwWd4CatqF5J40MyzixC8vwYyHrLp3WZ5QmJ+Dqd8pxfA/y+SwaI+ryLhVYy4pSFwaGyIRfvZ50f34eSc=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