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modifican las Reglas generales para la aplicación del estímulo fiscal a proyectos de inversión en la producción teatral nacional; en la edición y publicación de obras literarias nacionales; de artes visuales; danza; música en los campos específicos de dirección de orquesta, ejecución instrumental y vocal de la música de concierto y jazz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16 de abril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Comité Interinstitucional para la Aplicación del Estímulo Fiscal a Proyectos de Inversión en la Producción Teatral Nacional; en la Edición y Publicación de Obras Literarias Nacionales; de Artes Visuales; Danza; Música en los Campos específicos de Dirección de Orquesta, Ejecución Instrumental y Vocal de la Música de Concierto y Jazz.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b w:val="1"/>
          <w:color w:val="2f2f2f"/>
          <w:sz w:val="16"/>
          <w:szCs w:val="16"/>
        </w:rPr>
      </w:pPr>
      <w:r w:rsidDel="00000000" w:rsidR="00000000" w:rsidRPr="00000000">
        <w:rPr>
          <w:b w:val="1"/>
          <w:color w:val="2f2f2f"/>
          <w:sz w:val="16"/>
          <w:szCs w:val="16"/>
          <w:rtl w:val="0"/>
        </w:rPr>
        <w:t xml:space="preserve">ACUERDO POR EL QUE SE MODIFICAN LAS REGLAS GENERALES PARA LA APLICACIÓN DEL ESTÍMULO FISCAL A PROYECTOS DE INVERSIÓN EN LA PRODUCCIÓN TEATRAL NACIONAL; EN LA EDICIÓN Y PUBLICACIÓN DE OBRAS LITERARIAS NACIONALES; DE ARTES VISUALES; DANZA; MÚSICA EN LOS CAMPOS ESPECÍFICOS DE DIRECCIÓN DE ORQUESTA, EJECUCIÓN INSTRUMENTAL Y VOCAL DE LA MÚSICA DE CONCIERTO Y JAZZ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REFORMA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 regla 10, segundo párrafo de las Reglas Generales para la Aplicación del Estímulo Fiscal a Proyectos de Inversión en la Producción Teatral Nacional; en la Edición y Publicación de Obras Literarias Nacionales; de Artes Visuales; Danza; Música en los Campos específicos de Dirección de Orquesta, Ejecución Instrumental y Vocal de la Música de Concierto y Jazz, para quedar como sigue: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left="1160" w:hanging="44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10.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left="116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periodo de envío y recepción de las solicitudes por parte de la empresa responsable, será el comprendido entre las 00:00 horas, tiempo del centro, del 15 de febrero, hasta las 18:00 horas, tiempo del centro, del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25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de abril.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left="720" w:firstLine="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left="720" w:firstLine="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left="720" w:firstLine="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left="720" w:firstLine="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left="720" w:firstLine="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left="720" w:firstLine="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10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TRANSITORIOS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el día de su publicación en el Diario Oficial de la Federación.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Atentamente,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8 de abril de 2021.- La Representante Titular del Instituto Nacional de Bellas Artes y Literatura,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Lucina Jiménez López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Rúbrica.- La Representante Titular de la Secretaría de Cultura,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Marina Núñez Bespalova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Rúbrica.- El Representante Suplente de la Secretaría de Hacienda y Crédito Público,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Francisco Javier Arias Vázquez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Rúbrica.- El Representante Suplente del Servicio de Administración Tributaria,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Luis Alberto Lechuga Zurita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