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7B2" w:rsidRDefault="009517B2" w:rsidP="009517B2">
      <w:pPr>
        <w:spacing w:before="100" w:beforeAutospacing="1" w:after="100" w:afterAutospacing="1" w:line="240" w:lineRule="auto"/>
        <w:jc w:val="center"/>
        <w:rPr>
          <w:rFonts w:ascii="Verdana" w:eastAsia="Times New Roman" w:hAnsi="Verdana" w:cs="Times New Roman"/>
          <w:b/>
          <w:color w:val="4F81BD" w:themeColor="accent1"/>
          <w:sz w:val="20"/>
          <w:szCs w:val="20"/>
          <w:lang w:eastAsia="es-MX"/>
        </w:rPr>
      </w:pPr>
      <w:bookmarkStart w:id="0" w:name="_GoBack"/>
      <w:r w:rsidRPr="009517B2">
        <w:rPr>
          <w:rFonts w:ascii="Verdana" w:eastAsia="Times New Roman" w:hAnsi="Verdana" w:cs="Times New Roman"/>
          <w:b/>
          <w:color w:val="4F81BD" w:themeColor="accent1"/>
          <w:sz w:val="20"/>
          <w:szCs w:val="20"/>
          <w:lang w:eastAsia="es-MX"/>
        </w:rPr>
        <w:t>R</w:t>
      </w:r>
      <w:r>
        <w:rPr>
          <w:rFonts w:ascii="Verdana" w:eastAsia="Times New Roman" w:hAnsi="Verdana" w:cs="Times New Roman"/>
          <w:b/>
          <w:color w:val="4F81BD" w:themeColor="accent1"/>
          <w:sz w:val="20"/>
          <w:szCs w:val="20"/>
          <w:lang w:eastAsia="es-MX"/>
        </w:rPr>
        <w:t>esolución</w:t>
      </w:r>
      <w:r w:rsidRPr="009517B2">
        <w:rPr>
          <w:rFonts w:ascii="Verdana" w:eastAsia="Times New Roman" w:hAnsi="Verdana" w:cs="Times New Roman"/>
          <w:b/>
          <w:color w:val="4F81BD" w:themeColor="accent1"/>
          <w:sz w:val="20"/>
          <w:szCs w:val="20"/>
          <w:lang w:eastAsia="es-MX"/>
        </w:rPr>
        <w:t xml:space="preserve"> por la que se declara el inicio del examen de vigencia de la cuota compensatoria impuesta a las importaciones de lápices originarias de la República Popular China, independien</w:t>
      </w:r>
      <w:r>
        <w:rPr>
          <w:rFonts w:ascii="Verdana" w:eastAsia="Times New Roman" w:hAnsi="Verdana" w:cs="Times New Roman"/>
          <w:b/>
          <w:color w:val="4F81BD" w:themeColor="accent1"/>
          <w:sz w:val="20"/>
          <w:szCs w:val="20"/>
          <w:lang w:eastAsia="es-MX"/>
        </w:rPr>
        <w:t>temente del país de procedencia</w:t>
      </w:r>
    </w:p>
    <w:bookmarkEnd w:id="0"/>
    <w:p w:rsidR="009517B2" w:rsidRPr="009517B2" w:rsidRDefault="009517B2" w:rsidP="009517B2">
      <w:pPr>
        <w:spacing w:before="100" w:beforeAutospacing="1" w:after="100" w:afterAutospacing="1" w:line="240" w:lineRule="auto"/>
        <w:jc w:val="center"/>
        <w:rPr>
          <w:rFonts w:ascii="Verdana" w:eastAsia="Times New Roman" w:hAnsi="Verdana" w:cs="Times New Roman"/>
          <w:b/>
          <w:color w:val="4F81BD" w:themeColor="accent1"/>
          <w:sz w:val="20"/>
          <w:szCs w:val="20"/>
          <w:lang w:eastAsia="es-MX"/>
        </w:rPr>
      </w:pPr>
      <w:r>
        <w:rPr>
          <w:rFonts w:ascii="Verdana" w:eastAsia="Times New Roman" w:hAnsi="Verdana" w:cs="Times New Roman"/>
          <w:b/>
          <w:color w:val="4F81BD" w:themeColor="accent1"/>
          <w:sz w:val="20"/>
          <w:szCs w:val="20"/>
          <w:lang w:eastAsia="es-MX"/>
        </w:rPr>
        <w:t>(DOF 16 de mayo de 2019)</w:t>
      </w:r>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Al margen un sello con el Escudo Nacional, que dice: Estados Unidos Mexicanos.- Secretaría de Economía.</w:t>
      </w:r>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RESOLUCIÓN POR LA QUE SE DECLARA EL INICIO DEL EXAMEN DE VIGENCIA DE LA CUOTA COMPENSATORIA IMPUESTA A LAS IMPORTACIONES DE LÁPICES ORIGINARIAS DE LA REPÚBLICA POPULAR CHINA, INDEPENDIENTEMENTE DEL PAÍS DE PROCEDENCIA</w:t>
      </w:r>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Visto para resolver en la etapa de inicio el expediente administrativo E.C. 07/19 radicado en la Unidad de Prácticas Comerciales Internacionales (UPCI) de la Secretaría de Economía (la “Secretaría”), se emite la presente Resolución de conformidad con los siguientes</w:t>
      </w:r>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val="es-ES_tradnl" w:eastAsia="es-MX"/>
        </w:rPr>
        <w:t>RESULTANDOS</w:t>
      </w:r>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A. Resolución final de la investigación antidumping</w:t>
      </w:r>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bookmarkStart w:id="1" w:name="N_Ref471405866"/>
      <w:bookmarkStart w:id="2" w:name="N_Ref495479617"/>
      <w:r w:rsidRPr="009517B2">
        <w:rPr>
          <w:rFonts w:ascii="Verdana" w:eastAsia="Times New Roman" w:hAnsi="Verdana" w:cs="Times New Roman"/>
          <w:b/>
          <w:sz w:val="20"/>
          <w:szCs w:val="20"/>
          <w:lang w:eastAsia="es-MX"/>
        </w:rPr>
        <w:t>1.</w:t>
      </w:r>
      <w:r w:rsidRPr="009517B2">
        <w:rPr>
          <w:rFonts w:ascii="Verdana" w:eastAsia="Times New Roman" w:hAnsi="Verdana" w:cs="Times New Roman"/>
          <w:sz w:val="20"/>
          <w:szCs w:val="20"/>
          <w:lang w:eastAsia="es-MX"/>
        </w:rPr>
        <w:t xml:space="preserve"> El 26 de mayo de 2014 se publicó en el Diario Oficial de la Federación (DOF) la Resolución final de la investigación antidumping sobre las importaciones de lápices originarias de la República Popular China (“China”), independientemente del país de procedencia (la “Resolución Final”).</w:t>
      </w:r>
      <w:bookmarkEnd w:id="1"/>
      <w:r w:rsidRPr="009517B2">
        <w:rPr>
          <w:rFonts w:ascii="Verdana" w:eastAsia="Times New Roman" w:hAnsi="Verdana" w:cs="Times New Roman"/>
          <w:sz w:val="20"/>
          <w:szCs w:val="20"/>
          <w:lang w:eastAsia="es-MX"/>
        </w:rPr>
        <w:t xml:space="preserve"> </w:t>
      </w:r>
      <w:bookmarkStart w:id="3" w:name="N_Ref487042872"/>
      <w:r w:rsidRPr="009517B2">
        <w:rPr>
          <w:rFonts w:ascii="Verdana" w:eastAsia="Times New Roman" w:hAnsi="Verdana" w:cs="Times New Roman"/>
          <w:sz w:val="20"/>
          <w:szCs w:val="20"/>
          <w:lang w:eastAsia="es-MX"/>
        </w:rPr>
        <w:t>Mediante dicha Resolución, se determinó una cuota compensatoria definitiva de $0.0299 dólares de los Estados Unidos (“dólares”) por pieza.</w:t>
      </w:r>
      <w:bookmarkEnd w:id="2"/>
      <w:bookmarkEnd w:id="3"/>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B. Aviso sobre la vigencia de cuotas compensatorias</w:t>
      </w:r>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bookmarkStart w:id="4" w:name="N_Ref495479572"/>
      <w:r w:rsidRPr="009517B2">
        <w:rPr>
          <w:rFonts w:ascii="Verdana" w:eastAsia="Times New Roman" w:hAnsi="Verdana" w:cs="Times New Roman"/>
          <w:b/>
          <w:sz w:val="20"/>
          <w:szCs w:val="20"/>
          <w:lang w:eastAsia="es-MX"/>
        </w:rPr>
        <w:t>2.</w:t>
      </w:r>
      <w:r w:rsidRPr="009517B2">
        <w:rPr>
          <w:rFonts w:ascii="Verdana" w:eastAsia="Times New Roman" w:hAnsi="Verdana" w:cs="Times New Roman"/>
          <w:sz w:val="20"/>
          <w:szCs w:val="20"/>
          <w:lang w:eastAsia="es-MX"/>
        </w:rPr>
        <w:t xml:space="preserve"> 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lápices originarios de China, objeto de este examen.</w:t>
      </w:r>
      <w:bookmarkEnd w:id="4"/>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C. Manifestación de interés</w:t>
      </w:r>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 xml:space="preserve">3. </w:t>
      </w:r>
      <w:r w:rsidRPr="009517B2">
        <w:rPr>
          <w:rFonts w:ascii="Verdana" w:eastAsia="Times New Roman" w:hAnsi="Verdana" w:cs="Times New Roman"/>
          <w:sz w:val="20"/>
          <w:szCs w:val="20"/>
          <w:lang w:eastAsia="es-MX"/>
        </w:rPr>
        <w:t>El 12 de abril de 2019 Dixon Comercializadora, S.A. de C.V. ("Dixon"), manifestó su interés en que la Secretaría inicie el examen de vigencia de la cuota compensatoria definitiva impuesta a las importaciones de lápices originarias de China. Propuso como periodo de examen el comprendido del 1 de febrero de 2018 al 31 de enero de 2019.</w:t>
      </w:r>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 xml:space="preserve">4. </w:t>
      </w:r>
      <w:r w:rsidRPr="009517B2">
        <w:rPr>
          <w:rFonts w:ascii="Verdana" w:eastAsia="Times New Roman" w:hAnsi="Verdana" w:cs="Times New Roman"/>
          <w:sz w:val="20"/>
          <w:szCs w:val="20"/>
          <w:lang w:eastAsia="es-MX"/>
        </w:rPr>
        <w:t xml:space="preserve">Dixon es una empresa constituida conforme a las leyes mexicanas. Su principal actividad es el desarrollo, diseño, fabricación, compra y venta de artículos y materiales de escritura, dibujo, arte, decoración y enseñanza, entre los que se encuentran los lápices, ya sea de grafito o de color. Para acreditar su calidad de productor nacional de lápices, presentó una carta de la Asociación Mexicana de Fabricantes de Instrumentos </w:t>
      </w:r>
      <w:r w:rsidRPr="009517B2">
        <w:rPr>
          <w:rFonts w:ascii="Verdana" w:eastAsia="Times New Roman" w:hAnsi="Verdana" w:cs="Times New Roman"/>
          <w:sz w:val="20"/>
          <w:szCs w:val="20"/>
          <w:lang w:eastAsia="es-MX"/>
        </w:rPr>
        <w:lastRenderedPageBreak/>
        <w:t xml:space="preserve">para Escritura y Similares, A.C. (AMFIES) del 15 de abril de 2019. Señaló como domicilio para oír y recibir notificaciones el ubicado en </w:t>
      </w:r>
      <w:proofErr w:type="spellStart"/>
      <w:r w:rsidRPr="009517B2">
        <w:rPr>
          <w:rFonts w:ascii="Verdana" w:eastAsia="Times New Roman" w:hAnsi="Verdana" w:cs="Times New Roman"/>
          <w:sz w:val="20"/>
          <w:szCs w:val="20"/>
          <w:lang w:eastAsia="es-MX"/>
        </w:rPr>
        <w:t>Blvd</w:t>
      </w:r>
      <w:proofErr w:type="spellEnd"/>
      <w:r w:rsidRPr="009517B2">
        <w:rPr>
          <w:rFonts w:ascii="Verdana" w:eastAsia="Times New Roman" w:hAnsi="Verdana" w:cs="Times New Roman"/>
          <w:sz w:val="20"/>
          <w:szCs w:val="20"/>
          <w:lang w:eastAsia="es-MX"/>
        </w:rPr>
        <w:t>. Manuel Ávila Camacho No. 24, piso 20, Col. Lomas de Chapultepec, C.P. 11000, Ciudad de México.</w:t>
      </w:r>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D. Producto objeto de examen</w:t>
      </w:r>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1. Descripción del producto</w:t>
      </w:r>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bookmarkStart w:id="5" w:name="N_Ref380054190"/>
      <w:bookmarkStart w:id="6" w:name="N_Ref304217242"/>
      <w:bookmarkStart w:id="7" w:name="N_Ref300667731"/>
      <w:r w:rsidRPr="009517B2">
        <w:rPr>
          <w:rFonts w:ascii="Verdana" w:eastAsia="Times New Roman" w:hAnsi="Verdana" w:cs="Times New Roman"/>
          <w:b/>
          <w:sz w:val="20"/>
          <w:szCs w:val="20"/>
          <w:lang w:eastAsia="es-MX"/>
        </w:rPr>
        <w:t xml:space="preserve">5. </w:t>
      </w:r>
      <w:r w:rsidRPr="009517B2">
        <w:rPr>
          <w:rFonts w:ascii="Verdana" w:eastAsia="Times New Roman" w:hAnsi="Verdana" w:cs="Times New Roman"/>
          <w:sz w:val="20"/>
          <w:szCs w:val="20"/>
          <w:lang w:eastAsia="es-MX"/>
        </w:rPr>
        <w:t>El producto objeto de examen se conoce como “lápiz”, ya sea de grafito o de color. El lápiz es un instrumento que se utiliza para escribir, trazar, dibujar o iluminar, se compone de una puntilla que está contenida en un cuerpo sólido, que debe afilarse para su uso y cuya funcionalidad se basa en el desgaste de la puntilla al deslizarse sobre una superficie y que, además, puede tener la propiedad de borrarse.</w:t>
      </w:r>
      <w:bookmarkEnd w:id="5"/>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bookmarkStart w:id="8" w:name="N_Ref380054289"/>
      <w:r w:rsidRPr="009517B2">
        <w:rPr>
          <w:rFonts w:ascii="Verdana" w:eastAsia="Times New Roman" w:hAnsi="Verdana" w:cs="Times New Roman"/>
          <w:b/>
          <w:sz w:val="20"/>
          <w:szCs w:val="20"/>
          <w:lang w:eastAsia="es-MX"/>
        </w:rPr>
        <w:t>6.</w:t>
      </w:r>
      <w:r w:rsidRPr="009517B2">
        <w:rPr>
          <w:rFonts w:ascii="Verdana" w:eastAsia="Times New Roman" w:hAnsi="Verdana" w:cs="Times New Roman"/>
          <w:sz w:val="20"/>
          <w:szCs w:val="20"/>
          <w:lang w:eastAsia="es-MX"/>
        </w:rPr>
        <w:t xml:space="preserve"> El lápiz puede tener forma, longitud y grosor distintos, así como durezas diferentes en la mina de grafito o de color, de acuerdo con las necesidades del usuario, sin ver alteradas sus características fundamentales.</w:t>
      </w:r>
      <w:bookmarkEnd w:id="8"/>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7.</w:t>
      </w:r>
      <w:r w:rsidRPr="009517B2">
        <w:rPr>
          <w:rFonts w:ascii="Verdana" w:eastAsia="Times New Roman" w:hAnsi="Verdana" w:cs="Times New Roman"/>
          <w:sz w:val="20"/>
          <w:szCs w:val="20"/>
          <w:lang w:eastAsia="es-MX"/>
        </w:rPr>
        <w:t xml:space="preserve"> La descripción del producto objeto de examen es consistente con la definición de lápiz incluida en la Norma Mexicana NMX-N-086-SCFI-2009, “Productos para Oficinas y Escuelas-Lápices de Escritura y Color”, y que en general, un lápiz tiene tres secciones: punta, cuerpo y cabeza.</w:t>
      </w:r>
    </w:p>
    <w:bookmarkEnd w:id="6"/>
    <w:bookmarkEnd w:id="7"/>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2. Tratamiento arancelario</w:t>
      </w:r>
    </w:p>
    <w:p w:rsidR="009517B2" w:rsidRPr="009517B2" w:rsidRDefault="009517B2" w:rsidP="009517B2">
      <w:pPr>
        <w:spacing w:before="100" w:beforeAutospacing="1" w:after="100" w:afterAutospacing="1" w:line="232"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8.</w:t>
      </w:r>
      <w:r w:rsidRPr="009517B2">
        <w:rPr>
          <w:rFonts w:ascii="Verdana" w:eastAsia="Times New Roman" w:hAnsi="Verdana" w:cs="Times New Roman"/>
          <w:sz w:val="20"/>
          <w:szCs w:val="20"/>
          <w:lang w:eastAsia="es-MX"/>
        </w:rPr>
        <w:t xml:space="preserve"> El producto objeto de examen ingresa por la fracción arancelaria 9609.10.01 de la Tarifa de la Ley de los Impuestos Generales de Importación y de Exportación (TIGIE), cuya descripción es la siguiente:</w:t>
      </w:r>
    </w:p>
    <w:tbl>
      <w:tblPr>
        <w:tblW w:w="7470" w:type="dxa"/>
        <w:tblInd w:w="792" w:type="dxa"/>
        <w:tblLayout w:type="fixed"/>
        <w:tblCellMar>
          <w:left w:w="72" w:type="dxa"/>
          <w:right w:w="72" w:type="dxa"/>
        </w:tblCellMar>
        <w:tblLook w:val="04A0" w:firstRow="1" w:lastRow="0" w:firstColumn="1" w:lastColumn="0" w:noHBand="0" w:noVBand="1"/>
      </w:tblPr>
      <w:tblGrid>
        <w:gridCol w:w="1980"/>
        <w:gridCol w:w="5490"/>
      </w:tblGrid>
      <w:tr w:rsidR="009517B2" w:rsidRPr="009517B2" w:rsidTr="009517B2">
        <w:trPr>
          <w:trHeight w:val="144"/>
        </w:trPr>
        <w:tc>
          <w:tcPr>
            <w:tcW w:w="1980" w:type="dxa"/>
            <w:tcBorders>
              <w:top w:val="single" w:sz="6" w:space="0" w:color="000000"/>
              <w:left w:val="single" w:sz="6" w:space="0" w:color="000000"/>
              <w:bottom w:val="single" w:sz="6" w:space="0" w:color="000000"/>
              <w:right w:val="single" w:sz="6" w:space="0" w:color="000000"/>
            </w:tcBorders>
            <w:shd w:val="clear" w:color="auto" w:fill="C0C0C0"/>
            <w:noWrap/>
            <w:vAlign w:val="center"/>
            <w:hideMark/>
          </w:tcPr>
          <w:p w:rsidR="009517B2" w:rsidRPr="009517B2" w:rsidRDefault="009517B2" w:rsidP="009517B2">
            <w:pPr>
              <w:spacing w:before="100" w:beforeAutospacing="1" w:after="60" w:line="144" w:lineRule="atLeast"/>
              <w:jc w:val="center"/>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Codificación arancelaria</w:t>
            </w:r>
          </w:p>
        </w:tc>
        <w:tc>
          <w:tcPr>
            <w:tcW w:w="5490" w:type="dxa"/>
            <w:tcBorders>
              <w:top w:val="single" w:sz="6" w:space="0" w:color="000000"/>
              <w:left w:val="single" w:sz="6" w:space="0" w:color="auto"/>
              <w:bottom w:val="single" w:sz="6" w:space="0" w:color="000000"/>
              <w:right w:val="single" w:sz="6" w:space="0" w:color="000000"/>
            </w:tcBorders>
            <w:shd w:val="clear" w:color="auto" w:fill="C0C0C0"/>
            <w:vAlign w:val="center"/>
            <w:hideMark/>
          </w:tcPr>
          <w:p w:rsidR="009517B2" w:rsidRPr="009517B2" w:rsidRDefault="009517B2" w:rsidP="009517B2">
            <w:pPr>
              <w:spacing w:before="100" w:beforeAutospacing="1" w:after="60" w:line="144" w:lineRule="atLeast"/>
              <w:jc w:val="center"/>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Descripción</w:t>
            </w:r>
          </w:p>
        </w:tc>
      </w:tr>
      <w:tr w:rsidR="009517B2" w:rsidRPr="009517B2" w:rsidTr="009517B2">
        <w:trPr>
          <w:trHeight w:val="144"/>
        </w:trPr>
        <w:tc>
          <w:tcPr>
            <w:tcW w:w="1980" w:type="dxa"/>
            <w:tcBorders>
              <w:top w:val="single" w:sz="6" w:space="0" w:color="auto"/>
              <w:left w:val="single" w:sz="6" w:space="0" w:color="000000"/>
              <w:bottom w:val="single" w:sz="6" w:space="0" w:color="000000"/>
              <w:right w:val="single" w:sz="6" w:space="0" w:color="000000"/>
            </w:tcBorders>
            <w:vAlign w:val="center"/>
            <w:hideMark/>
          </w:tcPr>
          <w:p w:rsidR="009517B2" w:rsidRPr="009517B2" w:rsidRDefault="009517B2" w:rsidP="009517B2">
            <w:pPr>
              <w:spacing w:before="100" w:beforeAutospacing="1" w:after="6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Capítulo 96</w:t>
            </w:r>
          </w:p>
        </w:tc>
        <w:tc>
          <w:tcPr>
            <w:tcW w:w="5490" w:type="dxa"/>
            <w:tcBorders>
              <w:top w:val="single" w:sz="6" w:space="0" w:color="auto"/>
              <w:left w:val="single" w:sz="6" w:space="0" w:color="auto"/>
              <w:bottom w:val="single" w:sz="6" w:space="0" w:color="000000"/>
              <w:right w:val="single" w:sz="6" w:space="0" w:color="000000"/>
            </w:tcBorders>
            <w:vAlign w:val="center"/>
            <w:hideMark/>
          </w:tcPr>
          <w:p w:rsidR="009517B2" w:rsidRPr="009517B2" w:rsidRDefault="009517B2" w:rsidP="009517B2">
            <w:pPr>
              <w:spacing w:before="100" w:beforeAutospacing="1" w:after="6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Manufacturas diversas.</w:t>
            </w:r>
          </w:p>
        </w:tc>
      </w:tr>
      <w:tr w:rsidR="009517B2" w:rsidRPr="009517B2" w:rsidTr="009517B2">
        <w:trPr>
          <w:trHeight w:val="144"/>
        </w:trPr>
        <w:tc>
          <w:tcPr>
            <w:tcW w:w="1980" w:type="dxa"/>
            <w:tcBorders>
              <w:top w:val="single" w:sz="6" w:space="0" w:color="auto"/>
              <w:left w:val="single" w:sz="6" w:space="0" w:color="000000"/>
              <w:bottom w:val="single" w:sz="6" w:space="0" w:color="000000"/>
              <w:right w:val="single" w:sz="6" w:space="0" w:color="000000"/>
            </w:tcBorders>
            <w:vAlign w:val="center"/>
            <w:hideMark/>
          </w:tcPr>
          <w:p w:rsidR="009517B2" w:rsidRPr="009517B2" w:rsidRDefault="009517B2" w:rsidP="009517B2">
            <w:pPr>
              <w:spacing w:before="100" w:beforeAutospacing="1" w:after="6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Partida 9609</w:t>
            </w:r>
          </w:p>
        </w:tc>
        <w:tc>
          <w:tcPr>
            <w:tcW w:w="5490" w:type="dxa"/>
            <w:tcBorders>
              <w:top w:val="single" w:sz="6" w:space="0" w:color="auto"/>
              <w:left w:val="single" w:sz="6" w:space="0" w:color="auto"/>
              <w:bottom w:val="single" w:sz="6" w:space="0" w:color="000000"/>
              <w:right w:val="single" w:sz="6" w:space="0" w:color="000000"/>
            </w:tcBorders>
            <w:vAlign w:val="center"/>
            <w:hideMark/>
          </w:tcPr>
          <w:p w:rsidR="009517B2" w:rsidRPr="009517B2" w:rsidRDefault="009517B2" w:rsidP="009517B2">
            <w:pPr>
              <w:spacing w:before="100" w:beforeAutospacing="1" w:after="6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Lápices, minas, pasteles, carboncillos, tizas para escribir o dibujar y jaboncillos (tizas) de sastre.</w:t>
            </w:r>
          </w:p>
        </w:tc>
      </w:tr>
      <w:tr w:rsidR="009517B2" w:rsidRPr="009517B2" w:rsidTr="009517B2">
        <w:trPr>
          <w:trHeight w:val="144"/>
        </w:trPr>
        <w:tc>
          <w:tcPr>
            <w:tcW w:w="1980" w:type="dxa"/>
            <w:tcBorders>
              <w:top w:val="single" w:sz="6" w:space="0" w:color="auto"/>
              <w:left w:val="single" w:sz="6" w:space="0" w:color="000000"/>
              <w:bottom w:val="single" w:sz="6" w:space="0" w:color="000000"/>
              <w:right w:val="single" w:sz="6" w:space="0" w:color="000000"/>
            </w:tcBorders>
            <w:vAlign w:val="center"/>
            <w:hideMark/>
          </w:tcPr>
          <w:p w:rsidR="009517B2" w:rsidRPr="009517B2" w:rsidRDefault="009517B2" w:rsidP="009517B2">
            <w:pPr>
              <w:spacing w:before="100" w:beforeAutospacing="1" w:after="60" w:line="144" w:lineRule="atLeast"/>
              <w:rPr>
                <w:rFonts w:ascii="Verdana" w:eastAsia="Times New Roman" w:hAnsi="Verdana" w:cs="Times New Roman"/>
                <w:sz w:val="20"/>
                <w:szCs w:val="20"/>
                <w:lang w:eastAsia="es-MX"/>
              </w:rPr>
            </w:pPr>
            <w:proofErr w:type="spellStart"/>
            <w:r w:rsidRPr="009517B2">
              <w:rPr>
                <w:rFonts w:ascii="Verdana" w:eastAsia="Times New Roman" w:hAnsi="Verdana" w:cs="Times New Roman"/>
                <w:sz w:val="20"/>
                <w:szCs w:val="20"/>
                <w:lang w:eastAsia="es-MX"/>
              </w:rPr>
              <w:t>Subpartida</w:t>
            </w:r>
            <w:proofErr w:type="spellEnd"/>
            <w:r w:rsidRPr="009517B2">
              <w:rPr>
                <w:rFonts w:ascii="Verdana" w:eastAsia="Times New Roman" w:hAnsi="Verdana" w:cs="Times New Roman"/>
                <w:sz w:val="20"/>
                <w:szCs w:val="20"/>
                <w:lang w:eastAsia="es-MX"/>
              </w:rPr>
              <w:t xml:space="preserve"> 9609.10</w:t>
            </w:r>
          </w:p>
        </w:tc>
        <w:tc>
          <w:tcPr>
            <w:tcW w:w="5490" w:type="dxa"/>
            <w:tcBorders>
              <w:top w:val="single" w:sz="6" w:space="0" w:color="auto"/>
              <w:left w:val="single" w:sz="6" w:space="0" w:color="auto"/>
              <w:bottom w:val="single" w:sz="6" w:space="0" w:color="000000"/>
              <w:right w:val="single" w:sz="6" w:space="0" w:color="000000"/>
            </w:tcBorders>
            <w:vAlign w:val="center"/>
            <w:hideMark/>
          </w:tcPr>
          <w:p w:rsidR="009517B2" w:rsidRPr="009517B2" w:rsidRDefault="009517B2" w:rsidP="009517B2">
            <w:pPr>
              <w:spacing w:before="100" w:beforeAutospacing="1" w:after="6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 Lápices.</w:t>
            </w:r>
          </w:p>
        </w:tc>
      </w:tr>
      <w:tr w:rsidR="009517B2" w:rsidRPr="009517B2" w:rsidTr="009517B2">
        <w:trPr>
          <w:trHeight w:val="144"/>
        </w:trPr>
        <w:tc>
          <w:tcPr>
            <w:tcW w:w="1980" w:type="dxa"/>
            <w:tcBorders>
              <w:top w:val="single" w:sz="6" w:space="0" w:color="000000"/>
              <w:left w:val="single" w:sz="6" w:space="0" w:color="000000"/>
              <w:bottom w:val="single" w:sz="6" w:space="0" w:color="auto"/>
              <w:right w:val="single" w:sz="6" w:space="0" w:color="000000"/>
            </w:tcBorders>
            <w:shd w:val="clear" w:color="auto" w:fill="C0C0C0"/>
            <w:vAlign w:val="center"/>
            <w:hideMark/>
          </w:tcPr>
          <w:p w:rsidR="009517B2" w:rsidRPr="009517B2" w:rsidRDefault="009517B2" w:rsidP="009517B2">
            <w:pPr>
              <w:spacing w:before="100" w:beforeAutospacing="1" w:after="6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Fracción 9609.10.01</w:t>
            </w:r>
          </w:p>
        </w:tc>
        <w:tc>
          <w:tcPr>
            <w:tcW w:w="5490" w:type="dxa"/>
            <w:tcBorders>
              <w:top w:val="single" w:sz="6" w:space="0" w:color="000000"/>
              <w:left w:val="single" w:sz="6" w:space="0" w:color="auto"/>
              <w:bottom w:val="single" w:sz="6" w:space="0" w:color="auto"/>
              <w:right w:val="single" w:sz="6" w:space="0" w:color="000000"/>
            </w:tcBorders>
            <w:shd w:val="clear" w:color="auto" w:fill="C0C0C0"/>
            <w:vAlign w:val="center"/>
            <w:hideMark/>
          </w:tcPr>
          <w:p w:rsidR="009517B2" w:rsidRPr="009517B2" w:rsidRDefault="009517B2" w:rsidP="009517B2">
            <w:pPr>
              <w:spacing w:before="100" w:beforeAutospacing="1" w:after="6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Lápices.</w:t>
            </w:r>
          </w:p>
        </w:tc>
      </w:tr>
    </w:tbl>
    <w:p w:rsidR="009517B2" w:rsidRPr="009517B2" w:rsidRDefault="009517B2" w:rsidP="009517B2">
      <w:pPr>
        <w:spacing w:before="100" w:beforeAutospacing="1" w:after="100" w:afterAutospacing="1" w:line="240" w:lineRule="auto"/>
        <w:ind w:left="720"/>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Fuente: Sistema de Información Arancelaria Vía Internet (SIAVI)</w:t>
      </w:r>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bookmarkStart w:id="9" w:name="N_Ref380750520"/>
      <w:r w:rsidRPr="009517B2">
        <w:rPr>
          <w:rFonts w:ascii="Verdana" w:eastAsia="Times New Roman" w:hAnsi="Verdana" w:cs="Times New Roman"/>
          <w:b/>
          <w:sz w:val="20"/>
          <w:szCs w:val="20"/>
          <w:lang w:eastAsia="es-MX"/>
        </w:rPr>
        <w:t>9.</w:t>
      </w:r>
      <w:r w:rsidRPr="009517B2">
        <w:rPr>
          <w:rFonts w:ascii="Verdana" w:eastAsia="Times New Roman" w:hAnsi="Verdana" w:cs="Times New Roman"/>
          <w:sz w:val="20"/>
          <w:szCs w:val="20"/>
          <w:lang w:eastAsia="es-MX"/>
        </w:rPr>
        <w:t xml:space="preserve"> Con base en la información del SIAVI, la Secretaría observó que las importaciones de lápices que ingresan por la fracción 9609.10.01 de la TIGIE pagan un arancel general de 15% a excepción de las importaciones originarias de países con los que México ha celebrado tratados de libre comercio, las cuales están exentas; sin embargo, de acuerdo al Tratado Integral y Progresista de Asociación Transpacífico, las mercancías originarias de Australia, Canadá, Japón, Nueva Zelanda y Singapur tienen un arancel </w:t>
      </w:r>
      <w:r w:rsidRPr="009517B2">
        <w:rPr>
          <w:rFonts w:ascii="Verdana" w:eastAsia="Times New Roman" w:hAnsi="Verdana" w:cs="Times New Roman"/>
          <w:i/>
          <w:sz w:val="20"/>
          <w:szCs w:val="20"/>
          <w:lang w:eastAsia="es-MX"/>
        </w:rPr>
        <w:t xml:space="preserve">ad </w:t>
      </w:r>
      <w:proofErr w:type="spellStart"/>
      <w:r w:rsidRPr="009517B2">
        <w:rPr>
          <w:rFonts w:ascii="Verdana" w:eastAsia="Times New Roman" w:hAnsi="Verdana" w:cs="Times New Roman"/>
          <w:i/>
          <w:sz w:val="20"/>
          <w:szCs w:val="20"/>
          <w:lang w:eastAsia="es-MX"/>
        </w:rPr>
        <w:t>valorem</w:t>
      </w:r>
      <w:proofErr w:type="spellEnd"/>
      <w:r w:rsidRPr="009517B2">
        <w:rPr>
          <w:rFonts w:ascii="Verdana" w:eastAsia="Times New Roman" w:hAnsi="Verdana" w:cs="Times New Roman"/>
          <w:sz w:val="20"/>
          <w:szCs w:val="20"/>
          <w:lang w:eastAsia="es-MX"/>
        </w:rPr>
        <w:t xml:space="preserve"> de 12%, mientras que las originarias de Vietnam están sujetas a un arancel </w:t>
      </w:r>
      <w:r w:rsidRPr="009517B2">
        <w:rPr>
          <w:rFonts w:ascii="Verdana" w:eastAsia="Times New Roman" w:hAnsi="Verdana" w:cs="Times New Roman"/>
          <w:i/>
          <w:sz w:val="20"/>
          <w:szCs w:val="20"/>
          <w:lang w:eastAsia="es-MX"/>
        </w:rPr>
        <w:t xml:space="preserve">ad </w:t>
      </w:r>
      <w:proofErr w:type="spellStart"/>
      <w:r w:rsidRPr="009517B2">
        <w:rPr>
          <w:rFonts w:ascii="Verdana" w:eastAsia="Times New Roman" w:hAnsi="Verdana" w:cs="Times New Roman"/>
          <w:i/>
          <w:sz w:val="20"/>
          <w:szCs w:val="20"/>
          <w:lang w:eastAsia="es-MX"/>
        </w:rPr>
        <w:t>valorem</w:t>
      </w:r>
      <w:proofErr w:type="spellEnd"/>
      <w:r w:rsidRPr="009517B2">
        <w:rPr>
          <w:rFonts w:ascii="Verdana" w:eastAsia="Times New Roman" w:hAnsi="Verdana" w:cs="Times New Roman"/>
          <w:sz w:val="20"/>
          <w:szCs w:val="20"/>
          <w:lang w:eastAsia="es-MX"/>
        </w:rPr>
        <w:t xml:space="preserve"> del 13.5%. La unidad de medida para operaciones comerciales es en pieza o unidades; conforme a la TIGIE es la pieza.</w:t>
      </w:r>
    </w:p>
    <w:bookmarkEnd w:id="9"/>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lastRenderedPageBreak/>
        <w:t>3. Proceso productivo</w:t>
      </w:r>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bookmarkStart w:id="10" w:name="N_Ref380054262"/>
      <w:bookmarkStart w:id="11" w:name="N_Ref304217266"/>
      <w:bookmarkStart w:id="12" w:name="N_Ref343011743"/>
      <w:bookmarkStart w:id="13" w:name="N_Ref319103322"/>
      <w:r w:rsidRPr="009517B2">
        <w:rPr>
          <w:rFonts w:ascii="Verdana" w:eastAsia="Times New Roman" w:hAnsi="Verdana" w:cs="Times New Roman"/>
          <w:b/>
          <w:sz w:val="20"/>
          <w:szCs w:val="20"/>
          <w:lang w:eastAsia="es-MX"/>
        </w:rPr>
        <w:t xml:space="preserve">10. </w:t>
      </w:r>
      <w:r w:rsidRPr="009517B2">
        <w:rPr>
          <w:rFonts w:ascii="Verdana" w:eastAsia="Times New Roman" w:hAnsi="Verdana" w:cs="Times New Roman"/>
          <w:sz w:val="20"/>
          <w:szCs w:val="20"/>
          <w:lang w:eastAsia="es-MX"/>
        </w:rPr>
        <w:t>Para la elaboración de los lápices, por lo general, se requiere de una mina de grafito o de color; para el cuerpo, una tablilla de madera, plástico y papel, entre otros materiales; pintura o lava y, en su caso, un casquillo metálico o una goma para borrar. Por otra parte, el 95% de la producción mundial de dichas mercancías corresponde a lápices de madera, cuyo proceso de producción, en general, consiste en: fabricación de la tablilla, canalizado, formación del cuerpo del lápiz, pintado y acabado.</w:t>
      </w:r>
      <w:bookmarkEnd w:id="10"/>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bookmarkStart w:id="14" w:name="N_Ref383097665"/>
      <w:r w:rsidRPr="009517B2">
        <w:rPr>
          <w:rFonts w:ascii="Verdana" w:eastAsia="Times New Roman" w:hAnsi="Verdana" w:cs="Times New Roman"/>
          <w:b/>
          <w:sz w:val="20"/>
          <w:szCs w:val="20"/>
          <w:lang w:eastAsia="es-MX"/>
        </w:rPr>
        <w:t xml:space="preserve">11. </w:t>
      </w:r>
      <w:r w:rsidRPr="009517B2">
        <w:rPr>
          <w:rFonts w:ascii="Verdana" w:eastAsia="Times New Roman" w:hAnsi="Verdana" w:cs="Times New Roman"/>
          <w:sz w:val="20"/>
          <w:szCs w:val="20"/>
          <w:lang w:eastAsia="es-MX"/>
        </w:rPr>
        <w:t>El proceso general para la producción de lápices de madera es el siguiente:</w:t>
      </w:r>
      <w:bookmarkEnd w:id="14"/>
    </w:p>
    <w:p w:rsidR="009517B2" w:rsidRPr="009517B2" w:rsidRDefault="009517B2" w:rsidP="009517B2">
      <w:pPr>
        <w:spacing w:before="100" w:beforeAutospacing="1" w:after="100" w:afterAutospacing="1" w:line="240" w:lineRule="auto"/>
        <w:ind w:left="720" w:hanging="432"/>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a.</w:t>
      </w:r>
      <w:r w:rsidRPr="009517B2">
        <w:rPr>
          <w:rFonts w:ascii="Verdana" w:eastAsia="Times New Roman" w:hAnsi="Verdana" w:cs="Times New Roman"/>
          <w:sz w:val="20"/>
          <w:szCs w:val="20"/>
          <w:lang w:eastAsia="es-MX"/>
        </w:rPr>
        <w:tab/>
        <w:t>fabricación de la tablilla: a partir de un bloque de madera se realizan cortes para obtener las tablillas;</w:t>
      </w:r>
    </w:p>
    <w:p w:rsidR="009517B2" w:rsidRPr="009517B2" w:rsidRDefault="009517B2" w:rsidP="009517B2">
      <w:pPr>
        <w:spacing w:before="100" w:beforeAutospacing="1" w:after="100" w:afterAutospacing="1" w:line="240" w:lineRule="auto"/>
        <w:ind w:left="720" w:hanging="432"/>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b.</w:t>
      </w:r>
      <w:r w:rsidRPr="009517B2">
        <w:rPr>
          <w:rFonts w:ascii="Verdana" w:eastAsia="Times New Roman" w:hAnsi="Verdana" w:cs="Times New Roman"/>
          <w:b/>
          <w:sz w:val="20"/>
          <w:szCs w:val="20"/>
          <w:lang w:eastAsia="es-MX"/>
        </w:rPr>
        <w:tab/>
      </w:r>
      <w:r w:rsidRPr="009517B2">
        <w:rPr>
          <w:rFonts w:ascii="Verdana" w:eastAsia="Times New Roman" w:hAnsi="Verdana" w:cs="Times New Roman"/>
          <w:sz w:val="20"/>
          <w:szCs w:val="20"/>
          <w:lang w:eastAsia="es-MX"/>
        </w:rPr>
        <w:t>canalizado: la tablilla de madera pasa a través de cuchillas para formar canales en los que se introduce la puntilla;</w:t>
      </w:r>
    </w:p>
    <w:p w:rsidR="009517B2" w:rsidRPr="009517B2" w:rsidRDefault="009517B2" w:rsidP="009517B2">
      <w:pPr>
        <w:spacing w:before="100" w:beforeAutospacing="1" w:after="100" w:afterAutospacing="1" w:line="240" w:lineRule="auto"/>
        <w:ind w:left="720" w:hanging="432"/>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c.</w:t>
      </w:r>
      <w:r w:rsidRPr="009517B2">
        <w:rPr>
          <w:rFonts w:ascii="Verdana" w:eastAsia="Times New Roman" w:hAnsi="Verdana" w:cs="Times New Roman"/>
          <w:sz w:val="20"/>
          <w:szCs w:val="20"/>
          <w:lang w:eastAsia="es-MX"/>
        </w:rPr>
        <w:tab/>
        <w:t>formación del cuerpo del lápiz: a la tablilla canalizada se le aplica adhesivo, se coloca la puntilla y otra tablilla encima para formar un “sándwich” o esbozo. Posteriormente se pule y se modela (corta) de acuerdo a la forma que tendrá el lápiz en “crudo”;</w:t>
      </w:r>
    </w:p>
    <w:p w:rsidR="009517B2" w:rsidRPr="009517B2" w:rsidRDefault="009517B2" w:rsidP="009517B2">
      <w:pPr>
        <w:spacing w:before="100" w:beforeAutospacing="1" w:after="100" w:afterAutospacing="1" w:line="240" w:lineRule="auto"/>
        <w:ind w:left="720" w:hanging="432"/>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d.</w:t>
      </w:r>
      <w:r w:rsidRPr="009517B2">
        <w:rPr>
          <w:rFonts w:ascii="Verdana" w:eastAsia="Times New Roman" w:hAnsi="Verdana" w:cs="Times New Roman"/>
          <w:sz w:val="20"/>
          <w:szCs w:val="20"/>
          <w:lang w:eastAsia="es-MX"/>
        </w:rPr>
        <w:tab/>
        <w:t>pintado: el lápiz se pasa por máquinas que lo pintan, secan y pulen; en su caso, el lápiz puede pasar a la siguiente etapa sin pintar, o bien, se le puede decorar, y</w:t>
      </w:r>
    </w:p>
    <w:p w:rsidR="009517B2" w:rsidRPr="009517B2" w:rsidRDefault="009517B2" w:rsidP="009517B2">
      <w:pPr>
        <w:spacing w:before="100" w:beforeAutospacing="1" w:after="100" w:afterAutospacing="1" w:line="240" w:lineRule="auto"/>
        <w:ind w:left="720" w:hanging="432"/>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e.</w:t>
      </w:r>
      <w:r w:rsidRPr="009517B2">
        <w:rPr>
          <w:rFonts w:ascii="Verdana" w:eastAsia="Times New Roman" w:hAnsi="Verdana" w:cs="Times New Roman"/>
          <w:sz w:val="20"/>
          <w:szCs w:val="20"/>
          <w:lang w:eastAsia="es-MX"/>
        </w:rPr>
        <w:tab/>
        <w:t>acabado: una vez que ha sido pintado, dependiendo de las especificaciones del cliente, el lápiz puede ser llevado a un proceso de encasquillado o a un proceso donde se le sacará punta y se le marcará con algún logotipo.</w:t>
      </w:r>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bookmarkStart w:id="15" w:name="N_Ref380751608"/>
      <w:r w:rsidRPr="009517B2">
        <w:rPr>
          <w:rFonts w:ascii="Verdana" w:eastAsia="Times New Roman" w:hAnsi="Verdana" w:cs="Times New Roman"/>
          <w:b/>
          <w:sz w:val="20"/>
          <w:szCs w:val="20"/>
          <w:lang w:eastAsia="es-MX"/>
        </w:rPr>
        <w:t xml:space="preserve">12. </w:t>
      </w:r>
      <w:r w:rsidRPr="009517B2">
        <w:rPr>
          <w:rFonts w:ascii="Verdana" w:eastAsia="Times New Roman" w:hAnsi="Verdana" w:cs="Times New Roman"/>
          <w:sz w:val="20"/>
          <w:szCs w:val="20"/>
          <w:lang w:eastAsia="es-MX"/>
        </w:rPr>
        <w:t xml:space="preserve">El proceso productivo de algunos lápices de cuerpo diferente a los de madera puede variar en la etapa de inicio de la producción, ya que pueden utilizar máquinas de extrusión para el lápiz de plástico y </w:t>
      </w:r>
      <w:proofErr w:type="spellStart"/>
      <w:r w:rsidRPr="009517B2">
        <w:rPr>
          <w:rFonts w:ascii="Verdana" w:eastAsia="Times New Roman" w:hAnsi="Verdana" w:cs="Times New Roman"/>
          <w:sz w:val="20"/>
          <w:szCs w:val="20"/>
          <w:lang w:eastAsia="es-MX"/>
        </w:rPr>
        <w:t>embobinadoras</w:t>
      </w:r>
      <w:proofErr w:type="spellEnd"/>
      <w:r w:rsidRPr="009517B2">
        <w:rPr>
          <w:rFonts w:ascii="Verdana" w:eastAsia="Times New Roman" w:hAnsi="Verdana" w:cs="Times New Roman"/>
          <w:sz w:val="20"/>
          <w:szCs w:val="20"/>
          <w:lang w:eastAsia="es-MX"/>
        </w:rPr>
        <w:t xml:space="preserve"> para el lápiz de papel y otros materiales, pero una vez formado el lápiz en "crudo", el resto de los procesos son similares a los que sigue el lápiz de madera.</w:t>
      </w:r>
      <w:bookmarkEnd w:id="15"/>
    </w:p>
    <w:bookmarkEnd w:id="11"/>
    <w:bookmarkEnd w:id="12"/>
    <w:bookmarkEnd w:id="13"/>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4. Normas</w:t>
      </w:r>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 xml:space="preserve">13. </w:t>
      </w:r>
      <w:r w:rsidRPr="009517B2">
        <w:rPr>
          <w:rFonts w:ascii="Verdana" w:eastAsia="Times New Roman" w:hAnsi="Verdana" w:cs="Times New Roman"/>
          <w:sz w:val="20"/>
          <w:szCs w:val="20"/>
          <w:lang w:eastAsia="es-MX"/>
        </w:rPr>
        <w:t>Al producto objeto de examen le aplican las siguientes normas nacionales e internacionales:</w:t>
      </w:r>
    </w:p>
    <w:tbl>
      <w:tblPr>
        <w:tblW w:w="8715" w:type="dxa"/>
        <w:tblInd w:w="144" w:type="dxa"/>
        <w:tblLayout w:type="fixed"/>
        <w:tblCellMar>
          <w:left w:w="72" w:type="dxa"/>
          <w:right w:w="72" w:type="dxa"/>
        </w:tblCellMar>
        <w:tblLook w:val="04A0" w:firstRow="1" w:lastRow="0" w:firstColumn="1" w:lastColumn="0" w:noHBand="0" w:noVBand="1"/>
      </w:tblPr>
      <w:tblGrid>
        <w:gridCol w:w="2317"/>
        <w:gridCol w:w="6398"/>
      </w:tblGrid>
      <w:tr w:rsidR="009517B2" w:rsidRPr="009517B2" w:rsidTr="009517B2">
        <w:trPr>
          <w:trHeight w:val="144"/>
        </w:trPr>
        <w:tc>
          <w:tcPr>
            <w:tcW w:w="2119" w:type="dxa"/>
            <w:tcBorders>
              <w:top w:val="single" w:sz="6" w:space="0" w:color="000000"/>
              <w:left w:val="single" w:sz="6" w:space="0" w:color="000000"/>
              <w:bottom w:val="single" w:sz="6" w:space="0" w:color="000000"/>
              <w:right w:val="single" w:sz="6" w:space="0" w:color="000000"/>
            </w:tcBorders>
            <w:shd w:val="clear" w:color="auto" w:fill="C0C0C0"/>
            <w:noWrap/>
            <w:hideMark/>
          </w:tcPr>
          <w:p w:rsidR="009517B2" w:rsidRPr="009517B2" w:rsidRDefault="009517B2" w:rsidP="009517B2">
            <w:pPr>
              <w:spacing w:before="100" w:beforeAutospacing="1" w:after="80" w:line="144" w:lineRule="atLeast"/>
              <w:jc w:val="center"/>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Norma</w:t>
            </w:r>
          </w:p>
        </w:tc>
        <w:tc>
          <w:tcPr>
            <w:tcW w:w="5852" w:type="dxa"/>
            <w:tcBorders>
              <w:top w:val="single" w:sz="6" w:space="0" w:color="000000"/>
              <w:left w:val="single" w:sz="6" w:space="0" w:color="000000"/>
              <w:bottom w:val="single" w:sz="6" w:space="0" w:color="000000"/>
              <w:right w:val="single" w:sz="6" w:space="0" w:color="000000"/>
            </w:tcBorders>
            <w:shd w:val="clear" w:color="auto" w:fill="C0C0C0"/>
            <w:hideMark/>
          </w:tcPr>
          <w:p w:rsidR="009517B2" w:rsidRPr="009517B2" w:rsidRDefault="009517B2" w:rsidP="009517B2">
            <w:pPr>
              <w:spacing w:before="100" w:beforeAutospacing="1" w:after="80" w:line="144" w:lineRule="atLeast"/>
              <w:jc w:val="center"/>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Rubro</w:t>
            </w:r>
          </w:p>
        </w:tc>
      </w:tr>
      <w:tr w:rsidR="009517B2" w:rsidRPr="009517B2" w:rsidTr="009517B2">
        <w:trPr>
          <w:trHeight w:val="144"/>
        </w:trPr>
        <w:tc>
          <w:tcPr>
            <w:tcW w:w="2119" w:type="dxa"/>
            <w:tcBorders>
              <w:top w:val="single" w:sz="6" w:space="0" w:color="000000"/>
              <w:left w:val="single" w:sz="6" w:space="0" w:color="000000"/>
              <w:bottom w:val="single" w:sz="6" w:space="0" w:color="000000"/>
              <w:right w:val="single" w:sz="6" w:space="0" w:color="000000"/>
            </w:tcBorders>
            <w:hideMark/>
          </w:tcPr>
          <w:p w:rsidR="009517B2" w:rsidRPr="009517B2" w:rsidRDefault="009517B2" w:rsidP="009517B2">
            <w:pPr>
              <w:spacing w:before="100" w:beforeAutospacing="1" w:after="8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val="es-ES_tradnl" w:eastAsia="es-MX"/>
              </w:rPr>
              <w:t>NMX-N-086-SCFI-2009</w:t>
            </w:r>
          </w:p>
        </w:tc>
        <w:tc>
          <w:tcPr>
            <w:tcW w:w="5852" w:type="dxa"/>
            <w:tcBorders>
              <w:top w:val="single" w:sz="6" w:space="0" w:color="000000"/>
              <w:left w:val="single" w:sz="6" w:space="0" w:color="000000"/>
              <w:bottom w:val="single" w:sz="6" w:space="0" w:color="000000"/>
              <w:right w:val="single" w:sz="6" w:space="0" w:color="000000"/>
            </w:tcBorders>
            <w:hideMark/>
          </w:tcPr>
          <w:p w:rsidR="009517B2" w:rsidRPr="009517B2" w:rsidRDefault="009517B2" w:rsidP="009517B2">
            <w:pPr>
              <w:spacing w:before="100" w:beforeAutospacing="1" w:after="8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val="es-ES_tradnl" w:eastAsia="es-MX"/>
              </w:rPr>
              <w:t>Productos para Oficinas y Escuelas - Lápices de Escritura y Color.</w:t>
            </w:r>
          </w:p>
        </w:tc>
      </w:tr>
      <w:tr w:rsidR="009517B2" w:rsidRPr="009517B2" w:rsidTr="009517B2">
        <w:trPr>
          <w:trHeight w:val="144"/>
        </w:trPr>
        <w:tc>
          <w:tcPr>
            <w:tcW w:w="2119" w:type="dxa"/>
            <w:tcBorders>
              <w:top w:val="single" w:sz="6" w:space="0" w:color="000000"/>
              <w:left w:val="single" w:sz="6" w:space="0" w:color="000000"/>
              <w:bottom w:val="single" w:sz="6" w:space="0" w:color="000000"/>
              <w:right w:val="single" w:sz="6" w:space="0" w:color="000000"/>
            </w:tcBorders>
            <w:hideMark/>
          </w:tcPr>
          <w:p w:rsidR="009517B2" w:rsidRPr="009517B2" w:rsidRDefault="009517B2" w:rsidP="009517B2">
            <w:pPr>
              <w:spacing w:before="100" w:beforeAutospacing="1" w:after="8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val="es-ES_tradnl" w:eastAsia="es-MX"/>
              </w:rPr>
              <w:t>NOM-252-SSA1-2011</w:t>
            </w:r>
          </w:p>
        </w:tc>
        <w:tc>
          <w:tcPr>
            <w:tcW w:w="5852" w:type="dxa"/>
            <w:tcBorders>
              <w:top w:val="single" w:sz="6" w:space="0" w:color="000000"/>
              <w:left w:val="single" w:sz="6" w:space="0" w:color="000000"/>
              <w:bottom w:val="single" w:sz="6" w:space="0" w:color="000000"/>
              <w:right w:val="single" w:sz="6" w:space="0" w:color="000000"/>
            </w:tcBorders>
            <w:hideMark/>
          </w:tcPr>
          <w:p w:rsidR="009517B2" w:rsidRPr="009517B2" w:rsidRDefault="009517B2" w:rsidP="009517B2">
            <w:pPr>
              <w:spacing w:before="100" w:beforeAutospacing="1" w:after="8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val="es-ES_tradnl" w:eastAsia="es-MX"/>
              </w:rPr>
              <w:t>Salud ambiental. Juguetes y artículos escolares. Límites de biodisponibilidad de metales pesados. Especificaciones químicas y métodos de prueba.</w:t>
            </w:r>
          </w:p>
        </w:tc>
      </w:tr>
      <w:tr w:rsidR="009517B2" w:rsidRPr="009517B2" w:rsidTr="009517B2">
        <w:trPr>
          <w:trHeight w:val="144"/>
        </w:trPr>
        <w:tc>
          <w:tcPr>
            <w:tcW w:w="2119" w:type="dxa"/>
            <w:tcBorders>
              <w:top w:val="single" w:sz="6" w:space="0" w:color="000000"/>
              <w:left w:val="single" w:sz="6" w:space="0" w:color="000000"/>
              <w:bottom w:val="single" w:sz="6" w:space="0" w:color="000000"/>
              <w:right w:val="single" w:sz="6" w:space="0" w:color="000000"/>
            </w:tcBorders>
            <w:hideMark/>
          </w:tcPr>
          <w:p w:rsidR="009517B2" w:rsidRPr="009517B2" w:rsidRDefault="009517B2" w:rsidP="009517B2">
            <w:pPr>
              <w:spacing w:before="100" w:beforeAutospacing="1" w:after="8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val="es-ES_tradnl" w:eastAsia="es-MX"/>
              </w:rPr>
              <w:t>NOM-050-SCFI-2004</w:t>
            </w:r>
          </w:p>
        </w:tc>
        <w:tc>
          <w:tcPr>
            <w:tcW w:w="5852" w:type="dxa"/>
            <w:tcBorders>
              <w:top w:val="single" w:sz="6" w:space="0" w:color="000000"/>
              <w:left w:val="single" w:sz="6" w:space="0" w:color="000000"/>
              <w:bottom w:val="single" w:sz="6" w:space="0" w:color="000000"/>
              <w:right w:val="single" w:sz="6" w:space="0" w:color="000000"/>
            </w:tcBorders>
            <w:hideMark/>
          </w:tcPr>
          <w:p w:rsidR="009517B2" w:rsidRPr="009517B2" w:rsidRDefault="009517B2" w:rsidP="009517B2">
            <w:pPr>
              <w:spacing w:before="100" w:beforeAutospacing="1" w:after="8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val="es-ES_tradnl" w:eastAsia="es-MX"/>
              </w:rPr>
              <w:t>Información comercial - Etiquetado general de productos.</w:t>
            </w:r>
          </w:p>
        </w:tc>
      </w:tr>
      <w:tr w:rsidR="009517B2" w:rsidRPr="009517B2" w:rsidTr="009517B2">
        <w:trPr>
          <w:trHeight w:val="144"/>
        </w:trPr>
        <w:tc>
          <w:tcPr>
            <w:tcW w:w="2119" w:type="dxa"/>
            <w:tcBorders>
              <w:top w:val="single" w:sz="6" w:space="0" w:color="000000"/>
              <w:left w:val="single" w:sz="6" w:space="0" w:color="000000"/>
              <w:bottom w:val="single" w:sz="6" w:space="0" w:color="000000"/>
              <w:right w:val="single" w:sz="6" w:space="0" w:color="000000"/>
            </w:tcBorders>
            <w:hideMark/>
          </w:tcPr>
          <w:p w:rsidR="009517B2" w:rsidRPr="009517B2" w:rsidRDefault="009517B2" w:rsidP="009517B2">
            <w:pPr>
              <w:spacing w:before="100" w:beforeAutospacing="1" w:after="8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val="es-ES_tradnl" w:eastAsia="es-MX"/>
              </w:rPr>
              <w:t>ANSI Z356.1-1994</w:t>
            </w:r>
          </w:p>
        </w:tc>
        <w:tc>
          <w:tcPr>
            <w:tcW w:w="5852" w:type="dxa"/>
            <w:tcBorders>
              <w:top w:val="single" w:sz="6" w:space="0" w:color="000000"/>
              <w:left w:val="single" w:sz="6" w:space="0" w:color="000000"/>
              <w:bottom w:val="single" w:sz="6" w:space="0" w:color="000000"/>
              <w:right w:val="single" w:sz="6" w:space="0" w:color="000000"/>
            </w:tcBorders>
            <w:hideMark/>
          </w:tcPr>
          <w:p w:rsidR="009517B2" w:rsidRPr="009517B2" w:rsidRDefault="009517B2" w:rsidP="009517B2">
            <w:pPr>
              <w:spacing w:before="100" w:beforeAutospacing="1" w:after="8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 xml:space="preserve">Art and </w:t>
            </w:r>
            <w:proofErr w:type="spellStart"/>
            <w:r w:rsidRPr="009517B2">
              <w:rPr>
                <w:rFonts w:ascii="Verdana" w:eastAsia="Times New Roman" w:hAnsi="Verdana" w:cs="Times New Roman"/>
                <w:sz w:val="20"/>
                <w:szCs w:val="20"/>
                <w:lang w:eastAsia="es-MX"/>
              </w:rPr>
              <w:t>Craft</w:t>
            </w:r>
            <w:proofErr w:type="spellEnd"/>
            <w:r w:rsidRPr="009517B2">
              <w:rPr>
                <w:rFonts w:ascii="Verdana" w:eastAsia="Times New Roman" w:hAnsi="Verdana" w:cs="Times New Roman"/>
                <w:sz w:val="20"/>
                <w:szCs w:val="20"/>
                <w:lang w:eastAsia="es-MX"/>
              </w:rPr>
              <w:t xml:space="preserve"> </w:t>
            </w:r>
            <w:proofErr w:type="spellStart"/>
            <w:r w:rsidRPr="009517B2">
              <w:rPr>
                <w:rFonts w:ascii="Verdana" w:eastAsia="Times New Roman" w:hAnsi="Verdana" w:cs="Times New Roman"/>
                <w:sz w:val="20"/>
                <w:szCs w:val="20"/>
                <w:lang w:eastAsia="es-MX"/>
              </w:rPr>
              <w:t>Materials</w:t>
            </w:r>
            <w:proofErr w:type="spellEnd"/>
            <w:r w:rsidRPr="009517B2">
              <w:rPr>
                <w:rFonts w:ascii="Verdana" w:eastAsia="Times New Roman" w:hAnsi="Verdana" w:cs="Times New Roman"/>
                <w:sz w:val="20"/>
                <w:szCs w:val="20"/>
                <w:lang w:eastAsia="es-MX"/>
              </w:rPr>
              <w:t xml:space="preserve"> - </w:t>
            </w:r>
            <w:proofErr w:type="spellStart"/>
            <w:r w:rsidRPr="009517B2">
              <w:rPr>
                <w:rFonts w:ascii="Verdana" w:eastAsia="Times New Roman" w:hAnsi="Verdana" w:cs="Times New Roman"/>
                <w:sz w:val="20"/>
                <w:szCs w:val="20"/>
                <w:lang w:eastAsia="es-MX"/>
              </w:rPr>
              <w:t>Crayons</w:t>
            </w:r>
            <w:proofErr w:type="spellEnd"/>
            <w:r w:rsidRPr="009517B2">
              <w:rPr>
                <w:rFonts w:ascii="Verdana" w:eastAsia="Times New Roman" w:hAnsi="Verdana" w:cs="Times New Roman"/>
                <w:sz w:val="20"/>
                <w:szCs w:val="20"/>
                <w:lang w:eastAsia="es-MX"/>
              </w:rPr>
              <w:t xml:space="preserve"> (Materiales de Arte y Artesanía - Crayones). </w:t>
            </w:r>
            <w:r w:rsidRPr="009517B2">
              <w:rPr>
                <w:rFonts w:ascii="Verdana" w:eastAsia="Times New Roman" w:hAnsi="Verdana" w:cs="Times New Roman"/>
                <w:sz w:val="20"/>
                <w:szCs w:val="20"/>
                <w:lang w:val="es-ES_tradnl" w:eastAsia="es-MX"/>
              </w:rPr>
              <w:t xml:space="preserve">(Instituto Nacional de Estándares de </w:t>
            </w:r>
            <w:r w:rsidRPr="009517B2">
              <w:rPr>
                <w:rFonts w:ascii="Verdana" w:eastAsia="Times New Roman" w:hAnsi="Verdana" w:cs="Times New Roman"/>
                <w:sz w:val="20"/>
                <w:szCs w:val="20"/>
                <w:lang w:val="es-ES_tradnl" w:eastAsia="es-MX"/>
              </w:rPr>
              <w:lastRenderedPageBreak/>
              <w:t xml:space="preserve">América, ANSI por las siglas en inglés de “American </w:t>
            </w:r>
            <w:proofErr w:type="spellStart"/>
            <w:r w:rsidRPr="009517B2">
              <w:rPr>
                <w:rFonts w:ascii="Verdana" w:eastAsia="Times New Roman" w:hAnsi="Verdana" w:cs="Times New Roman"/>
                <w:sz w:val="20"/>
                <w:szCs w:val="20"/>
                <w:lang w:val="es-ES_tradnl" w:eastAsia="es-MX"/>
              </w:rPr>
              <w:t>National</w:t>
            </w:r>
            <w:proofErr w:type="spellEnd"/>
            <w:r w:rsidRPr="009517B2">
              <w:rPr>
                <w:rFonts w:ascii="Verdana" w:eastAsia="Times New Roman" w:hAnsi="Verdana" w:cs="Times New Roman"/>
                <w:sz w:val="20"/>
                <w:szCs w:val="20"/>
                <w:lang w:val="es-ES_tradnl" w:eastAsia="es-MX"/>
              </w:rPr>
              <w:t xml:space="preserve"> </w:t>
            </w:r>
            <w:proofErr w:type="spellStart"/>
            <w:r w:rsidRPr="009517B2">
              <w:rPr>
                <w:rFonts w:ascii="Verdana" w:eastAsia="Times New Roman" w:hAnsi="Verdana" w:cs="Times New Roman"/>
                <w:sz w:val="20"/>
                <w:szCs w:val="20"/>
                <w:lang w:val="es-ES_tradnl" w:eastAsia="es-MX"/>
              </w:rPr>
              <w:t>Standars</w:t>
            </w:r>
            <w:proofErr w:type="spellEnd"/>
            <w:r w:rsidRPr="009517B2">
              <w:rPr>
                <w:rFonts w:ascii="Verdana" w:eastAsia="Times New Roman" w:hAnsi="Verdana" w:cs="Times New Roman"/>
                <w:sz w:val="20"/>
                <w:szCs w:val="20"/>
                <w:lang w:val="es-ES_tradnl" w:eastAsia="es-MX"/>
              </w:rPr>
              <w:t xml:space="preserve"> </w:t>
            </w:r>
            <w:proofErr w:type="spellStart"/>
            <w:r w:rsidRPr="009517B2">
              <w:rPr>
                <w:rFonts w:ascii="Verdana" w:eastAsia="Times New Roman" w:hAnsi="Verdana" w:cs="Times New Roman"/>
                <w:sz w:val="20"/>
                <w:szCs w:val="20"/>
                <w:lang w:val="es-ES_tradnl" w:eastAsia="es-MX"/>
              </w:rPr>
              <w:t>Institute</w:t>
            </w:r>
            <w:proofErr w:type="spellEnd"/>
            <w:r w:rsidRPr="009517B2">
              <w:rPr>
                <w:rFonts w:ascii="Verdana" w:eastAsia="Times New Roman" w:hAnsi="Verdana" w:cs="Times New Roman"/>
                <w:sz w:val="20"/>
                <w:szCs w:val="20"/>
                <w:lang w:val="es-ES_tradnl" w:eastAsia="es-MX"/>
              </w:rPr>
              <w:t>”).</w:t>
            </w:r>
          </w:p>
        </w:tc>
      </w:tr>
      <w:tr w:rsidR="009517B2" w:rsidRPr="009517B2" w:rsidTr="009517B2">
        <w:trPr>
          <w:trHeight w:val="144"/>
        </w:trPr>
        <w:tc>
          <w:tcPr>
            <w:tcW w:w="2119" w:type="dxa"/>
            <w:tcBorders>
              <w:top w:val="single" w:sz="6" w:space="0" w:color="000000"/>
              <w:left w:val="single" w:sz="6" w:space="0" w:color="000000"/>
              <w:bottom w:val="single" w:sz="6" w:space="0" w:color="000000"/>
              <w:right w:val="single" w:sz="6" w:space="0" w:color="000000"/>
            </w:tcBorders>
            <w:hideMark/>
          </w:tcPr>
          <w:p w:rsidR="009517B2" w:rsidRPr="009517B2" w:rsidRDefault="009517B2" w:rsidP="009517B2">
            <w:pPr>
              <w:spacing w:before="100" w:beforeAutospacing="1" w:after="8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val="es-ES_tradnl" w:eastAsia="es-MX"/>
              </w:rPr>
              <w:lastRenderedPageBreak/>
              <w:t>ASTM D-4236-94</w:t>
            </w:r>
          </w:p>
        </w:tc>
        <w:tc>
          <w:tcPr>
            <w:tcW w:w="5852" w:type="dxa"/>
            <w:tcBorders>
              <w:top w:val="single" w:sz="6" w:space="0" w:color="000000"/>
              <w:left w:val="single" w:sz="6" w:space="0" w:color="000000"/>
              <w:bottom w:val="single" w:sz="6" w:space="0" w:color="000000"/>
              <w:right w:val="single" w:sz="6" w:space="0" w:color="000000"/>
            </w:tcBorders>
            <w:hideMark/>
          </w:tcPr>
          <w:p w:rsidR="009517B2" w:rsidRPr="009517B2" w:rsidRDefault="009517B2" w:rsidP="009517B2">
            <w:pPr>
              <w:spacing w:before="100" w:beforeAutospacing="1" w:after="80" w:line="144" w:lineRule="atLeast"/>
              <w:rPr>
                <w:rFonts w:ascii="Verdana" w:eastAsia="Times New Roman" w:hAnsi="Verdana" w:cs="Times New Roman"/>
                <w:sz w:val="20"/>
                <w:szCs w:val="20"/>
                <w:lang w:eastAsia="es-MX"/>
              </w:rPr>
            </w:pPr>
            <w:r w:rsidRPr="009517B2">
              <w:rPr>
                <w:rFonts w:ascii="Verdana" w:eastAsia="Times New Roman" w:hAnsi="Verdana" w:cs="Times New Roman"/>
                <w:sz w:val="20"/>
                <w:szCs w:val="20"/>
                <w:lang w:val="en-US" w:eastAsia="es-MX"/>
              </w:rPr>
              <w:t xml:space="preserve">Standard Practice for Labeling Art Materials for Chronic Health Hazards. </w:t>
            </w:r>
            <w:r w:rsidRPr="009517B2">
              <w:rPr>
                <w:rFonts w:ascii="Verdana" w:eastAsia="Times New Roman" w:hAnsi="Verdana" w:cs="Times New Roman"/>
                <w:sz w:val="20"/>
                <w:szCs w:val="20"/>
                <w:lang w:val="es-ES_tradnl" w:eastAsia="es-MX"/>
              </w:rPr>
              <w:t xml:space="preserve">(Práctica Estándar para Etiquetado de Materiales de Arte por Riesgos Crónicos para la Salud). (Sociedad Americana para Pruebas y Materiales, ASTM por las siglas en inglés de “American </w:t>
            </w:r>
            <w:proofErr w:type="spellStart"/>
            <w:r w:rsidRPr="009517B2">
              <w:rPr>
                <w:rFonts w:ascii="Verdana" w:eastAsia="Times New Roman" w:hAnsi="Verdana" w:cs="Times New Roman"/>
                <w:sz w:val="20"/>
                <w:szCs w:val="20"/>
                <w:lang w:val="es-ES_tradnl" w:eastAsia="es-MX"/>
              </w:rPr>
              <w:t>Society</w:t>
            </w:r>
            <w:proofErr w:type="spellEnd"/>
            <w:r w:rsidRPr="009517B2">
              <w:rPr>
                <w:rFonts w:ascii="Verdana" w:eastAsia="Times New Roman" w:hAnsi="Verdana" w:cs="Times New Roman"/>
                <w:sz w:val="20"/>
                <w:szCs w:val="20"/>
                <w:lang w:val="es-ES_tradnl" w:eastAsia="es-MX"/>
              </w:rPr>
              <w:t xml:space="preserve"> </w:t>
            </w:r>
            <w:proofErr w:type="spellStart"/>
            <w:r w:rsidRPr="009517B2">
              <w:rPr>
                <w:rFonts w:ascii="Verdana" w:eastAsia="Times New Roman" w:hAnsi="Verdana" w:cs="Times New Roman"/>
                <w:sz w:val="20"/>
                <w:szCs w:val="20"/>
                <w:lang w:val="es-ES_tradnl" w:eastAsia="es-MX"/>
              </w:rPr>
              <w:t>for</w:t>
            </w:r>
            <w:proofErr w:type="spellEnd"/>
            <w:r w:rsidRPr="009517B2">
              <w:rPr>
                <w:rFonts w:ascii="Verdana" w:eastAsia="Times New Roman" w:hAnsi="Verdana" w:cs="Times New Roman"/>
                <w:sz w:val="20"/>
                <w:szCs w:val="20"/>
                <w:lang w:val="es-ES_tradnl" w:eastAsia="es-MX"/>
              </w:rPr>
              <w:t xml:space="preserve"> </w:t>
            </w:r>
            <w:proofErr w:type="spellStart"/>
            <w:r w:rsidRPr="009517B2">
              <w:rPr>
                <w:rFonts w:ascii="Verdana" w:eastAsia="Times New Roman" w:hAnsi="Verdana" w:cs="Times New Roman"/>
                <w:sz w:val="20"/>
                <w:szCs w:val="20"/>
                <w:lang w:val="es-ES_tradnl" w:eastAsia="es-MX"/>
              </w:rPr>
              <w:t>Testing</w:t>
            </w:r>
            <w:proofErr w:type="spellEnd"/>
            <w:r w:rsidRPr="009517B2">
              <w:rPr>
                <w:rFonts w:ascii="Verdana" w:eastAsia="Times New Roman" w:hAnsi="Verdana" w:cs="Times New Roman"/>
                <w:sz w:val="20"/>
                <w:szCs w:val="20"/>
                <w:lang w:val="es-ES_tradnl" w:eastAsia="es-MX"/>
              </w:rPr>
              <w:t xml:space="preserve"> </w:t>
            </w:r>
            <w:proofErr w:type="spellStart"/>
            <w:r w:rsidRPr="009517B2">
              <w:rPr>
                <w:rFonts w:ascii="Verdana" w:eastAsia="Times New Roman" w:hAnsi="Verdana" w:cs="Times New Roman"/>
                <w:sz w:val="20"/>
                <w:szCs w:val="20"/>
                <w:lang w:val="es-ES_tradnl" w:eastAsia="es-MX"/>
              </w:rPr>
              <w:t>Materials</w:t>
            </w:r>
            <w:proofErr w:type="spellEnd"/>
            <w:r w:rsidRPr="009517B2">
              <w:rPr>
                <w:rFonts w:ascii="Verdana" w:eastAsia="Times New Roman" w:hAnsi="Verdana" w:cs="Times New Roman"/>
                <w:sz w:val="20"/>
                <w:szCs w:val="20"/>
                <w:lang w:val="es-ES_tradnl" w:eastAsia="es-MX"/>
              </w:rPr>
              <w:t>”).</w:t>
            </w:r>
          </w:p>
        </w:tc>
      </w:tr>
    </w:tbl>
    <w:p w:rsidR="009517B2" w:rsidRPr="009517B2" w:rsidRDefault="009517B2" w:rsidP="009517B2">
      <w:pPr>
        <w:spacing w:before="40" w:after="100" w:afterAutospacing="1"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Fuente: Puntos 9 y 10 de la Resolución Final</w:t>
      </w:r>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5. Usos y funciones</w:t>
      </w:r>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bookmarkStart w:id="16" w:name="N_Ref317081435"/>
      <w:r w:rsidRPr="009517B2">
        <w:rPr>
          <w:rFonts w:ascii="Verdana" w:eastAsia="Times New Roman" w:hAnsi="Verdana" w:cs="Times New Roman"/>
          <w:b/>
          <w:sz w:val="20"/>
          <w:szCs w:val="20"/>
          <w:lang w:eastAsia="es-MX"/>
        </w:rPr>
        <w:t xml:space="preserve">14. </w:t>
      </w:r>
      <w:r w:rsidRPr="009517B2">
        <w:rPr>
          <w:rFonts w:ascii="Verdana" w:eastAsia="Times New Roman" w:hAnsi="Verdana" w:cs="Times New Roman"/>
          <w:sz w:val="20"/>
          <w:szCs w:val="20"/>
          <w:lang w:eastAsia="es-MX"/>
        </w:rPr>
        <w:t>El producto objeto de examen es un instrumento de mano utilizado para escribir o dibujar, usualmente sobre papel.</w:t>
      </w:r>
      <w:bookmarkEnd w:id="16"/>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E. Posibles partes interesadas</w:t>
      </w:r>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15.</w:t>
      </w:r>
      <w:r w:rsidRPr="009517B2">
        <w:rPr>
          <w:rFonts w:ascii="Verdana" w:eastAsia="Times New Roman" w:hAnsi="Verdana" w:cs="Times New Roman"/>
          <w:sz w:val="20"/>
          <w:szCs w:val="20"/>
          <w:lang w:eastAsia="es-MX"/>
        </w:rPr>
        <w:t xml:space="preserve"> Las partes de que la Secretaría tiene conocimiento y que podrían tener interés en comparecer al presente procedimiento, son las siguientes:</w:t>
      </w:r>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1. Productora nacional</w:t>
      </w:r>
    </w:p>
    <w:p w:rsidR="009517B2" w:rsidRPr="009517B2" w:rsidRDefault="009517B2" w:rsidP="009517B2">
      <w:pPr>
        <w:spacing w:before="100" w:beforeAutospacing="1" w:after="20"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Dixon Comercializadora, S.A. de C.V.</w:t>
      </w:r>
    </w:p>
    <w:p w:rsidR="009517B2" w:rsidRPr="009517B2" w:rsidRDefault="009517B2" w:rsidP="009517B2">
      <w:pPr>
        <w:spacing w:before="100" w:beforeAutospacing="1" w:after="20" w:line="240" w:lineRule="auto"/>
        <w:rPr>
          <w:rFonts w:ascii="Verdana" w:eastAsia="Times New Roman" w:hAnsi="Verdana" w:cs="Times New Roman"/>
          <w:sz w:val="20"/>
          <w:szCs w:val="20"/>
          <w:lang w:eastAsia="es-MX"/>
        </w:rPr>
      </w:pPr>
      <w:proofErr w:type="spellStart"/>
      <w:r w:rsidRPr="009517B2">
        <w:rPr>
          <w:rFonts w:ascii="Verdana" w:eastAsia="Times New Roman" w:hAnsi="Verdana" w:cs="Times New Roman"/>
          <w:sz w:val="20"/>
          <w:szCs w:val="20"/>
          <w:lang w:val="pt-BR" w:eastAsia="es-MX"/>
        </w:rPr>
        <w:t>Blvd</w:t>
      </w:r>
      <w:proofErr w:type="spellEnd"/>
      <w:r w:rsidRPr="009517B2">
        <w:rPr>
          <w:rFonts w:ascii="Verdana" w:eastAsia="Times New Roman" w:hAnsi="Verdana" w:cs="Times New Roman"/>
          <w:sz w:val="20"/>
          <w:szCs w:val="20"/>
          <w:lang w:val="pt-BR" w:eastAsia="es-MX"/>
        </w:rPr>
        <w:t>. Manuel Ávila Camacho No. 24, piso 20</w:t>
      </w:r>
    </w:p>
    <w:p w:rsidR="009517B2" w:rsidRPr="009517B2" w:rsidRDefault="009517B2" w:rsidP="009517B2">
      <w:pPr>
        <w:spacing w:before="100" w:beforeAutospacing="1" w:after="20"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Col. Lomas de Chapultepec</w:t>
      </w:r>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C.P. 11000, Ciudad de México</w:t>
      </w:r>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2. Importadoras</w:t>
      </w:r>
    </w:p>
    <w:p w:rsidR="009517B2" w:rsidRPr="009517B2" w:rsidRDefault="009517B2" w:rsidP="009517B2">
      <w:pPr>
        <w:spacing w:before="100" w:beforeAutospacing="1" w:after="20" w:line="240" w:lineRule="auto"/>
        <w:rPr>
          <w:rFonts w:ascii="Verdana" w:eastAsia="Times New Roman" w:hAnsi="Verdana" w:cs="Times New Roman"/>
          <w:sz w:val="20"/>
          <w:szCs w:val="20"/>
          <w:lang w:eastAsia="es-MX"/>
        </w:rPr>
      </w:pPr>
      <w:proofErr w:type="spellStart"/>
      <w:r w:rsidRPr="009517B2">
        <w:rPr>
          <w:rFonts w:ascii="Verdana" w:eastAsia="Times New Roman" w:hAnsi="Verdana" w:cs="Times New Roman"/>
          <w:sz w:val="20"/>
          <w:szCs w:val="20"/>
          <w:lang w:eastAsia="es-MX"/>
        </w:rPr>
        <w:t>Best</w:t>
      </w:r>
      <w:proofErr w:type="spellEnd"/>
      <w:r w:rsidRPr="009517B2">
        <w:rPr>
          <w:rFonts w:ascii="Verdana" w:eastAsia="Times New Roman" w:hAnsi="Verdana" w:cs="Times New Roman"/>
          <w:sz w:val="20"/>
          <w:szCs w:val="20"/>
          <w:lang w:eastAsia="es-MX"/>
        </w:rPr>
        <w:t xml:space="preserve"> Trading, S.A. de C.V.</w:t>
      </w:r>
    </w:p>
    <w:p w:rsidR="009517B2" w:rsidRPr="009517B2" w:rsidRDefault="009517B2" w:rsidP="009517B2">
      <w:pPr>
        <w:spacing w:before="100" w:beforeAutospacing="1" w:after="20"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Presa Salinillas No. 370-504</w:t>
      </w:r>
    </w:p>
    <w:p w:rsidR="009517B2" w:rsidRPr="009517B2" w:rsidRDefault="009517B2" w:rsidP="009517B2">
      <w:pPr>
        <w:spacing w:before="100" w:beforeAutospacing="1" w:after="20"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Col. Irrigación</w:t>
      </w:r>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C.P. 11500, Ciudad de México</w:t>
      </w:r>
    </w:p>
    <w:p w:rsidR="009517B2" w:rsidRPr="009517B2" w:rsidRDefault="009517B2" w:rsidP="009517B2">
      <w:pPr>
        <w:spacing w:before="100" w:beforeAutospacing="1" w:after="20"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Comercializadora Alemana, S.A. de C.V.</w:t>
      </w:r>
    </w:p>
    <w:p w:rsidR="009517B2" w:rsidRPr="009517B2" w:rsidRDefault="009517B2" w:rsidP="009517B2">
      <w:pPr>
        <w:spacing w:before="100" w:beforeAutospacing="1" w:after="20"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Ángel Urraza No. 523</w:t>
      </w:r>
    </w:p>
    <w:p w:rsidR="009517B2" w:rsidRPr="009517B2" w:rsidRDefault="009517B2" w:rsidP="009517B2">
      <w:pPr>
        <w:spacing w:before="100" w:beforeAutospacing="1" w:after="20"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Col. Del Valle</w:t>
      </w:r>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C.P. 03100, Ciudad de México</w:t>
      </w:r>
    </w:p>
    <w:p w:rsidR="009517B2" w:rsidRPr="009517B2" w:rsidRDefault="009517B2" w:rsidP="009517B2">
      <w:pPr>
        <w:spacing w:before="100" w:beforeAutospacing="1" w:after="20"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Comercializadora México Americana, S. de R.L. de C.V.</w:t>
      </w:r>
    </w:p>
    <w:p w:rsidR="009517B2" w:rsidRPr="009517B2" w:rsidRDefault="009517B2" w:rsidP="009517B2">
      <w:pPr>
        <w:spacing w:before="100" w:beforeAutospacing="1" w:after="20"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lastRenderedPageBreak/>
        <w:t>Av. Vasco de Quiroga No. 2121, piso 4</w:t>
      </w:r>
    </w:p>
    <w:p w:rsidR="009517B2" w:rsidRPr="009517B2" w:rsidRDefault="009517B2" w:rsidP="009517B2">
      <w:pPr>
        <w:spacing w:before="100" w:beforeAutospacing="1" w:after="20"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Col. Peña Blanca Santa Fe</w:t>
      </w:r>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C.P. 01210, Ciudad de México</w:t>
      </w:r>
    </w:p>
    <w:p w:rsidR="009517B2" w:rsidRPr="009517B2" w:rsidRDefault="009517B2" w:rsidP="009517B2">
      <w:pPr>
        <w:spacing w:before="100" w:beforeAutospacing="1" w:after="20"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 xml:space="preserve">Industrias </w:t>
      </w:r>
      <w:proofErr w:type="spellStart"/>
      <w:r w:rsidRPr="009517B2">
        <w:rPr>
          <w:rFonts w:ascii="Verdana" w:eastAsia="Times New Roman" w:hAnsi="Verdana" w:cs="Times New Roman"/>
          <w:sz w:val="20"/>
          <w:szCs w:val="20"/>
          <w:lang w:eastAsia="es-MX"/>
        </w:rPr>
        <w:t>Kores</w:t>
      </w:r>
      <w:proofErr w:type="spellEnd"/>
      <w:r w:rsidRPr="009517B2">
        <w:rPr>
          <w:rFonts w:ascii="Verdana" w:eastAsia="Times New Roman" w:hAnsi="Verdana" w:cs="Times New Roman"/>
          <w:sz w:val="20"/>
          <w:szCs w:val="20"/>
          <w:lang w:eastAsia="es-MX"/>
        </w:rPr>
        <w:t xml:space="preserve"> de México, S.A. de C.V.</w:t>
      </w:r>
    </w:p>
    <w:p w:rsidR="009517B2" w:rsidRPr="009517B2" w:rsidRDefault="009517B2" w:rsidP="009517B2">
      <w:pPr>
        <w:spacing w:before="100" w:beforeAutospacing="1" w:after="20"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Progreso No. 1-3</w:t>
      </w:r>
    </w:p>
    <w:p w:rsidR="009517B2" w:rsidRPr="009517B2" w:rsidRDefault="009517B2" w:rsidP="009517B2">
      <w:pPr>
        <w:spacing w:before="100" w:beforeAutospacing="1" w:after="20" w:line="240" w:lineRule="auto"/>
        <w:rPr>
          <w:rFonts w:ascii="Verdana" w:eastAsia="Times New Roman" w:hAnsi="Verdana" w:cs="Times New Roman"/>
          <w:sz w:val="20"/>
          <w:szCs w:val="20"/>
          <w:lang w:eastAsia="es-MX"/>
        </w:rPr>
      </w:pPr>
      <w:proofErr w:type="spellStart"/>
      <w:r w:rsidRPr="009517B2">
        <w:rPr>
          <w:rFonts w:ascii="Verdana" w:eastAsia="Times New Roman" w:hAnsi="Verdana" w:cs="Times New Roman"/>
          <w:sz w:val="20"/>
          <w:szCs w:val="20"/>
          <w:lang w:eastAsia="es-MX"/>
        </w:rPr>
        <w:t>Fracc</w:t>
      </w:r>
      <w:proofErr w:type="spellEnd"/>
      <w:r w:rsidRPr="009517B2">
        <w:rPr>
          <w:rFonts w:ascii="Verdana" w:eastAsia="Times New Roman" w:hAnsi="Verdana" w:cs="Times New Roman"/>
          <w:sz w:val="20"/>
          <w:szCs w:val="20"/>
          <w:lang w:eastAsia="es-MX"/>
        </w:rPr>
        <w:t>. Alce Blanco</w:t>
      </w:r>
    </w:p>
    <w:p w:rsidR="009517B2" w:rsidRPr="009517B2" w:rsidRDefault="009517B2" w:rsidP="009517B2">
      <w:pPr>
        <w:spacing w:before="100" w:beforeAutospacing="1" w:after="100" w:afterAutospacing="1" w:line="226"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C.P. 53350, Naucalpan de Juárez, Estado de México</w:t>
      </w:r>
    </w:p>
    <w:p w:rsidR="009517B2" w:rsidRPr="009517B2" w:rsidRDefault="009517B2" w:rsidP="009517B2">
      <w:pPr>
        <w:spacing w:before="100" w:beforeAutospacing="1" w:after="20" w:line="226"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val="pt-BR" w:eastAsia="es-MX"/>
        </w:rPr>
        <w:t>Pluma Nacional, S.A. de C.V.</w:t>
      </w:r>
    </w:p>
    <w:p w:rsidR="009517B2" w:rsidRPr="009517B2" w:rsidRDefault="009517B2" w:rsidP="009517B2">
      <w:pPr>
        <w:spacing w:before="100" w:beforeAutospacing="1" w:after="20" w:line="226"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Av. De los Cabos No. 13382</w:t>
      </w:r>
    </w:p>
    <w:p w:rsidR="009517B2" w:rsidRPr="009517B2" w:rsidRDefault="009517B2" w:rsidP="009517B2">
      <w:pPr>
        <w:spacing w:before="100" w:beforeAutospacing="1" w:after="20" w:line="226"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Col. Parque Industrial Pacífico</w:t>
      </w:r>
    </w:p>
    <w:p w:rsidR="009517B2" w:rsidRPr="009517B2" w:rsidRDefault="009517B2" w:rsidP="009517B2">
      <w:pPr>
        <w:spacing w:before="100" w:beforeAutospacing="1" w:after="100" w:afterAutospacing="1" w:line="226"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C.P. 22640, Tijuana, Baja California</w:t>
      </w:r>
    </w:p>
    <w:p w:rsidR="009517B2" w:rsidRPr="009517B2" w:rsidRDefault="009517B2" w:rsidP="009517B2">
      <w:pPr>
        <w:spacing w:before="100" w:beforeAutospacing="1" w:after="100" w:afterAutospacing="1" w:line="226"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3. Otros</w:t>
      </w:r>
    </w:p>
    <w:p w:rsidR="009517B2" w:rsidRPr="009517B2" w:rsidRDefault="009517B2" w:rsidP="009517B2">
      <w:pPr>
        <w:spacing w:before="100" w:beforeAutospacing="1" w:after="20" w:line="226" w:lineRule="exact"/>
        <w:rPr>
          <w:rFonts w:ascii="Verdana" w:eastAsia="Times New Roman" w:hAnsi="Verdana" w:cs="Times New Roman"/>
          <w:sz w:val="20"/>
          <w:szCs w:val="20"/>
          <w:lang w:eastAsia="es-MX"/>
        </w:rPr>
      </w:pPr>
      <w:proofErr w:type="spellStart"/>
      <w:r w:rsidRPr="009517B2">
        <w:rPr>
          <w:rFonts w:ascii="Verdana" w:eastAsia="Times New Roman" w:hAnsi="Verdana" w:cs="Times New Roman"/>
          <w:sz w:val="20"/>
          <w:szCs w:val="20"/>
          <w:lang w:eastAsia="es-MX"/>
        </w:rPr>
        <w:t>Newell</w:t>
      </w:r>
      <w:proofErr w:type="spellEnd"/>
      <w:r w:rsidRPr="009517B2">
        <w:rPr>
          <w:rFonts w:ascii="Verdana" w:eastAsia="Times New Roman" w:hAnsi="Verdana" w:cs="Times New Roman"/>
          <w:sz w:val="20"/>
          <w:szCs w:val="20"/>
          <w:lang w:eastAsia="es-MX"/>
        </w:rPr>
        <w:t xml:space="preserve"> </w:t>
      </w:r>
      <w:proofErr w:type="spellStart"/>
      <w:r w:rsidRPr="009517B2">
        <w:rPr>
          <w:rFonts w:ascii="Verdana" w:eastAsia="Times New Roman" w:hAnsi="Verdana" w:cs="Times New Roman"/>
          <w:sz w:val="20"/>
          <w:szCs w:val="20"/>
          <w:lang w:eastAsia="es-MX"/>
        </w:rPr>
        <w:t>Rubbermaid</w:t>
      </w:r>
      <w:proofErr w:type="spellEnd"/>
      <w:r w:rsidRPr="009517B2">
        <w:rPr>
          <w:rFonts w:ascii="Verdana" w:eastAsia="Times New Roman" w:hAnsi="Verdana" w:cs="Times New Roman"/>
          <w:sz w:val="20"/>
          <w:szCs w:val="20"/>
          <w:lang w:eastAsia="es-MX"/>
        </w:rPr>
        <w:t xml:space="preserve"> de México, S. de R.L. de C.V.</w:t>
      </w:r>
    </w:p>
    <w:p w:rsidR="009517B2" w:rsidRPr="009517B2" w:rsidRDefault="009517B2" w:rsidP="009517B2">
      <w:pPr>
        <w:spacing w:before="100" w:beforeAutospacing="1" w:after="20" w:line="226"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Av. Vasco de Quiroga No. 3000</w:t>
      </w:r>
    </w:p>
    <w:p w:rsidR="009517B2" w:rsidRPr="009517B2" w:rsidRDefault="009517B2" w:rsidP="009517B2">
      <w:pPr>
        <w:spacing w:before="100" w:beforeAutospacing="1" w:after="20" w:line="226"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Col. Peña Blanca Santa Fe</w:t>
      </w:r>
    </w:p>
    <w:p w:rsidR="009517B2" w:rsidRPr="009517B2" w:rsidRDefault="009517B2" w:rsidP="009517B2">
      <w:pPr>
        <w:spacing w:before="100" w:beforeAutospacing="1" w:after="100" w:afterAutospacing="1" w:line="226"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C.P. 01210, Ciudad de México</w:t>
      </w:r>
    </w:p>
    <w:p w:rsidR="009517B2" w:rsidRPr="009517B2" w:rsidRDefault="009517B2" w:rsidP="009517B2">
      <w:pPr>
        <w:spacing w:before="100" w:beforeAutospacing="1" w:after="20" w:line="226" w:lineRule="exact"/>
        <w:rPr>
          <w:rFonts w:ascii="Verdana" w:eastAsia="Times New Roman" w:hAnsi="Verdana" w:cs="Times New Roman"/>
          <w:sz w:val="20"/>
          <w:szCs w:val="20"/>
          <w:lang w:eastAsia="es-MX"/>
        </w:rPr>
      </w:pPr>
      <w:proofErr w:type="spellStart"/>
      <w:r w:rsidRPr="009517B2">
        <w:rPr>
          <w:rFonts w:ascii="Verdana" w:eastAsia="Times New Roman" w:hAnsi="Verdana" w:cs="Times New Roman"/>
          <w:sz w:val="20"/>
          <w:szCs w:val="20"/>
          <w:lang w:eastAsia="es-MX"/>
        </w:rPr>
        <w:t>Newell</w:t>
      </w:r>
      <w:proofErr w:type="spellEnd"/>
      <w:r w:rsidRPr="009517B2">
        <w:rPr>
          <w:rFonts w:ascii="Verdana" w:eastAsia="Times New Roman" w:hAnsi="Verdana" w:cs="Times New Roman"/>
          <w:sz w:val="20"/>
          <w:szCs w:val="20"/>
          <w:lang w:eastAsia="es-MX"/>
        </w:rPr>
        <w:t xml:space="preserve"> </w:t>
      </w:r>
      <w:proofErr w:type="spellStart"/>
      <w:r w:rsidRPr="009517B2">
        <w:rPr>
          <w:rFonts w:ascii="Verdana" w:eastAsia="Times New Roman" w:hAnsi="Verdana" w:cs="Times New Roman"/>
          <w:sz w:val="20"/>
          <w:szCs w:val="20"/>
          <w:lang w:eastAsia="es-MX"/>
        </w:rPr>
        <w:t>Rubbermaid</w:t>
      </w:r>
      <w:proofErr w:type="spellEnd"/>
      <w:r w:rsidRPr="009517B2">
        <w:rPr>
          <w:rFonts w:ascii="Verdana" w:eastAsia="Times New Roman" w:hAnsi="Verdana" w:cs="Times New Roman"/>
          <w:sz w:val="20"/>
          <w:szCs w:val="20"/>
          <w:lang w:eastAsia="es-MX"/>
        </w:rPr>
        <w:t xml:space="preserve"> Mexicali, S. de R.L. de C.V.</w:t>
      </w:r>
    </w:p>
    <w:p w:rsidR="009517B2" w:rsidRPr="009517B2" w:rsidRDefault="009517B2" w:rsidP="009517B2">
      <w:pPr>
        <w:spacing w:before="100" w:beforeAutospacing="1" w:after="20" w:line="226" w:lineRule="exact"/>
        <w:rPr>
          <w:rFonts w:ascii="Verdana" w:eastAsia="Times New Roman" w:hAnsi="Verdana" w:cs="Times New Roman"/>
          <w:sz w:val="20"/>
          <w:szCs w:val="20"/>
          <w:lang w:eastAsia="es-MX"/>
        </w:rPr>
      </w:pPr>
      <w:proofErr w:type="spellStart"/>
      <w:r w:rsidRPr="009517B2">
        <w:rPr>
          <w:rFonts w:ascii="Verdana" w:eastAsia="Times New Roman" w:hAnsi="Verdana" w:cs="Times New Roman"/>
          <w:sz w:val="20"/>
          <w:szCs w:val="20"/>
          <w:lang w:eastAsia="es-MX"/>
        </w:rPr>
        <w:t>Calz</w:t>
      </w:r>
      <w:proofErr w:type="spellEnd"/>
      <w:r w:rsidRPr="009517B2">
        <w:rPr>
          <w:rFonts w:ascii="Verdana" w:eastAsia="Times New Roman" w:hAnsi="Verdana" w:cs="Times New Roman"/>
          <w:sz w:val="20"/>
          <w:szCs w:val="20"/>
          <w:lang w:eastAsia="es-MX"/>
        </w:rPr>
        <w:t>. Héctor Terán No. 2898</w:t>
      </w:r>
    </w:p>
    <w:p w:rsidR="009517B2" w:rsidRPr="009517B2" w:rsidRDefault="009517B2" w:rsidP="009517B2">
      <w:pPr>
        <w:spacing w:before="100" w:beforeAutospacing="1" w:after="20" w:line="226"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 xml:space="preserve">Col. Parque Industrial </w:t>
      </w:r>
      <w:proofErr w:type="spellStart"/>
      <w:r w:rsidRPr="009517B2">
        <w:rPr>
          <w:rFonts w:ascii="Verdana" w:eastAsia="Times New Roman" w:hAnsi="Verdana" w:cs="Times New Roman"/>
          <w:sz w:val="20"/>
          <w:szCs w:val="20"/>
          <w:lang w:eastAsia="es-MX"/>
        </w:rPr>
        <w:t>Maran</w:t>
      </w:r>
      <w:proofErr w:type="spellEnd"/>
    </w:p>
    <w:p w:rsidR="009517B2" w:rsidRPr="009517B2" w:rsidRDefault="009517B2" w:rsidP="009517B2">
      <w:pPr>
        <w:spacing w:before="100" w:beforeAutospacing="1" w:after="100" w:afterAutospacing="1" w:line="226"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C.P. 21385, Mexicali, Baja California</w:t>
      </w:r>
    </w:p>
    <w:p w:rsidR="009517B2" w:rsidRPr="009517B2" w:rsidRDefault="009517B2" w:rsidP="009517B2">
      <w:pPr>
        <w:spacing w:before="100" w:beforeAutospacing="1" w:after="100" w:afterAutospacing="1" w:line="226"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4. Gobierno</w:t>
      </w:r>
    </w:p>
    <w:p w:rsidR="009517B2" w:rsidRPr="009517B2" w:rsidRDefault="009517B2" w:rsidP="009517B2">
      <w:pPr>
        <w:spacing w:before="100" w:beforeAutospacing="1" w:after="20" w:line="226"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Embajada de China en México</w:t>
      </w:r>
    </w:p>
    <w:p w:rsidR="009517B2" w:rsidRPr="009517B2" w:rsidRDefault="009517B2" w:rsidP="009517B2">
      <w:pPr>
        <w:spacing w:before="100" w:beforeAutospacing="1" w:after="20" w:line="226"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Platón No. 317</w:t>
      </w:r>
    </w:p>
    <w:p w:rsidR="009517B2" w:rsidRPr="009517B2" w:rsidRDefault="009517B2" w:rsidP="009517B2">
      <w:pPr>
        <w:spacing w:before="100" w:beforeAutospacing="1" w:after="20" w:line="226"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Col. Polanco</w:t>
      </w:r>
    </w:p>
    <w:p w:rsidR="009517B2" w:rsidRPr="009517B2" w:rsidRDefault="009517B2" w:rsidP="009517B2">
      <w:pPr>
        <w:spacing w:before="100" w:beforeAutospacing="1" w:after="100" w:afterAutospacing="1" w:line="226"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C.P. 11560, Ciudad de México</w:t>
      </w:r>
    </w:p>
    <w:p w:rsidR="009517B2" w:rsidRPr="009517B2" w:rsidRDefault="009517B2" w:rsidP="009517B2">
      <w:pPr>
        <w:spacing w:before="100" w:beforeAutospacing="1" w:after="100" w:afterAutospacing="1" w:line="226"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F. Requerimiento de información</w:t>
      </w:r>
    </w:p>
    <w:p w:rsidR="009517B2" w:rsidRPr="009517B2" w:rsidRDefault="009517B2" w:rsidP="009517B2">
      <w:pPr>
        <w:spacing w:before="100" w:beforeAutospacing="1" w:after="100" w:afterAutospacing="1" w:line="226" w:lineRule="exact"/>
        <w:rPr>
          <w:rFonts w:ascii="Verdana" w:eastAsia="Times New Roman" w:hAnsi="Verdana" w:cs="Times New Roman"/>
          <w:sz w:val="20"/>
          <w:szCs w:val="20"/>
          <w:lang w:eastAsia="es-MX"/>
        </w:rPr>
      </w:pPr>
      <w:bookmarkStart w:id="17" w:name="N_Ref448491925"/>
      <w:r w:rsidRPr="009517B2">
        <w:rPr>
          <w:rFonts w:ascii="Verdana" w:eastAsia="Times New Roman" w:hAnsi="Verdana" w:cs="Times New Roman"/>
          <w:b/>
          <w:sz w:val="20"/>
          <w:szCs w:val="20"/>
          <w:lang w:eastAsia="es-MX"/>
        </w:rPr>
        <w:lastRenderedPageBreak/>
        <w:t xml:space="preserve">16. </w:t>
      </w:r>
      <w:r w:rsidRPr="009517B2">
        <w:rPr>
          <w:rFonts w:ascii="Verdana" w:eastAsia="Times New Roman" w:hAnsi="Verdana" w:cs="Times New Roman"/>
          <w:sz w:val="20"/>
          <w:szCs w:val="20"/>
          <w:lang w:eastAsia="es-MX"/>
        </w:rPr>
        <w:t xml:space="preserve">Mediante oficio UPCI.416.19.1030 del 12 de abril de 2019, la Secretaría requirió a Dixon para que acreditara </w:t>
      </w:r>
      <w:bookmarkStart w:id="18" w:name="N_Ref448414007"/>
      <w:r w:rsidRPr="009517B2">
        <w:rPr>
          <w:rFonts w:ascii="Verdana" w:eastAsia="Times New Roman" w:hAnsi="Verdana" w:cs="Times New Roman"/>
          <w:sz w:val="20"/>
          <w:szCs w:val="20"/>
          <w:lang w:eastAsia="es-MX"/>
        </w:rPr>
        <w:t xml:space="preserve">su carácter de productora nacional de la mercancía objeto de examen. </w:t>
      </w:r>
      <w:bookmarkEnd w:id="17"/>
      <w:bookmarkEnd w:id="18"/>
      <w:r w:rsidRPr="009517B2">
        <w:rPr>
          <w:rFonts w:ascii="Verdana" w:eastAsia="Times New Roman" w:hAnsi="Verdana" w:cs="Times New Roman"/>
          <w:sz w:val="20"/>
          <w:szCs w:val="20"/>
          <w:lang w:eastAsia="es-MX"/>
        </w:rPr>
        <w:t>El 23 de abril de 2019 Dixon presentó una carta de la AMFIES del 15 de abril de 2019 que así lo acredita.</w:t>
      </w:r>
    </w:p>
    <w:p w:rsidR="009517B2" w:rsidRPr="009517B2" w:rsidRDefault="009517B2" w:rsidP="009517B2">
      <w:pPr>
        <w:spacing w:before="100" w:beforeAutospacing="1" w:after="100" w:afterAutospacing="1" w:line="240" w:lineRule="auto"/>
        <w:rPr>
          <w:rFonts w:ascii="Verdana" w:eastAsia="Times New Roman" w:hAnsi="Verdana" w:cs="Times New Roman"/>
          <w:sz w:val="20"/>
          <w:szCs w:val="20"/>
          <w:lang w:eastAsia="es-MX"/>
        </w:rPr>
      </w:pPr>
      <w:r w:rsidRPr="009517B2">
        <w:rPr>
          <w:rFonts w:ascii="Verdana" w:eastAsia="Times New Roman" w:hAnsi="Verdana" w:cs="Times New Roman"/>
          <w:sz w:val="20"/>
          <w:szCs w:val="20"/>
          <w:lang w:val="es-ES_tradnl" w:eastAsia="es-MX"/>
        </w:rPr>
        <w:t>CONSIDERANDOS</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A. Competencia</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 xml:space="preserve">17. </w:t>
      </w:r>
      <w:r w:rsidRPr="009517B2">
        <w:rPr>
          <w:rFonts w:ascii="Verdana" w:eastAsia="Times New Roman" w:hAnsi="Verdana" w:cs="Times New Roman"/>
          <w:sz w:val="20"/>
          <w:szCs w:val="20"/>
          <w:lang w:eastAsia="es-MX"/>
        </w:rPr>
        <w:t>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B. Legislación aplicable</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 xml:space="preserve">18. </w:t>
      </w:r>
      <w:r w:rsidRPr="009517B2">
        <w:rPr>
          <w:rFonts w:ascii="Verdana" w:eastAsia="Times New Roman" w:hAnsi="Verdana" w:cs="Times New Roman"/>
          <w:sz w:val="20"/>
          <w:szCs w:val="20"/>
          <w:lang w:eastAsia="es-MX"/>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C. Protección de la información confidencial</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19.</w:t>
      </w:r>
      <w:r w:rsidRPr="009517B2">
        <w:rPr>
          <w:rFonts w:ascii="Verdana" w:eastAsia="Times New Roman" w:hAnsi="Verdana" w:cs="Times New Roman"/>
          <w:sz w:val="20"/>
          <w:szCs w:val="20"/>
          <w:lang w:eastAsia="es-MX"/>
        </w:rPr>
        <w:t xml:space="preserve">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D. Legitimación para el inicio del examen de vigencia de cuota</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20.</w:t>
      </w:r>
      <w:r w:rsidRPr="009517B2">
        <w:rPr>
          <w:rFonts w:ascii="Verdana" w:eastAsia="Times New Roman" w:hAnsi="Verdana" w:cs="Times New Roman"/>
          <w:sz w:val="20"/>
          <w:szCs w:val="20"/>
          <w:lang w:eastAsia="es-MX"/>
        </w:rPr>
        <w:t xml:space="preserve">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 xml:space="preserve">21. </w:t>
      </w:r>
      <w:r w:rsidRPr="009517B2">
        <w:rPr>
          <w:rFonts w:ascii="Verdana" w:eastAsia="Times New Roman" w:hAnsi="Verdana" w:cs="Times New Roman"/>
          <w:sz w:val="20"/>
          <w:szCs w:val="20"/>
          <w:lang w:eastAsia="es-MX"/>
        </w:rPr>
        <w:t>En el presente caso, Dixon, en su calidad de productor nacional del producto objeto de examen, manifestó en tiempo y forma su interés en que se inicie el examen de vigencia de la cuota compensatoria definitiva impuesta a las importaciones de lápices originarias de China, por lo que se actualizan los supuestos previstos en la legislación de la materia y, en consecuencia, procede iniciarlo.</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E. Periodo de examen y de análisis</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22.</w:t>
      </w:r>
      <w:r w:rsidRPr="009517B2">
        <w:rPr>
          <w:rFonts w:ascii="Verdana" w:eastAsia="Times New Roman" w:hAnsi="Verdana" w:cs="Times New Roman"/>
          <w:sz w:val="20"/>
          <w:szCs w:val="20"/>
          <w:lang w:eastAsia="es-MX"/>
        </w:rPr>
        <w:t xml:space="preserve"> Dixon propuso como periodo de examen el comprendido del 1 de febrero de 2018 al 31 de enero de 2019. Al respecto, la Secretaría determina fijar como periodo de examen el comprendido del 1 de enero de 2018 al 31 de diciembre de 2018 y como periodo de análisis el comprendido del 1 de enero de 2014 al 31 de diciembre de 2018, </w:t>
      </w:r>
      <w:r w:rsidRPr="009517B2">
        <w:rPr>
          <w:rFonts w:ascii="Verdana" w:eastAsia="Times New Roman" w:hAnsi="Verdana" w:cs="Times New Roman"/>
          <w:sz w:val="20"/>
          <w:szCs w:val="20"/>
          <w:lang w:eastAsia="es-MX"/>
        </w:rPr>
        <w:lastRenderedPageBreak/>
        <w:t>toda vez que éstos se apegan a lo previsto por el artículo 76 del RLCE y a la recomendación del Comité de Prácticas Antidumping de la Organización Mundial del Comercio (documento G/ADP/6 adoptado el 5 de mayo de 2000).</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 xml:space="preserve">23. </w:t>
      </w:r>
      <w:r w:rsidRPr="009517B2">
        <w:rPr>
          <w:rFonts w:ascii="Verdana" w:eastAsia="Times New Roman" w:hAnsi="Verdana" w:cs="Times New Roman"/>
          <w:sz w:val="20"/>
          <w:szCs w:val="20"/>
          <w:lang w:eastAsia="es-MX"/>
        </w:rPr>
        <w:t xml:space="preserve">Por lo expuesto, con fundamento en los artículos 11.1 y 11.3 del Acuerdo Antidumping, y 67, 70 </w:t>
      </w:r>
      <w:proofErr w:type="gramStart"/>
      <w:r w:rsidRPr="009517B2">
        <w:rPr>
          <w:rFonts w:ascii="Verdana" w:eastAsia="Times New Roman" w:hAnsi="Verdana" w:cs="Times New Roman"/>
          <w:sz w:val="20"/>
          <w:szCs w:val="20"/>
          <w:lang w:eastAsia="es-MX"/>
        </w:rPr>
        <w:t>fracción</w:t>
      </w:r>
      <w:proofErr w:type="gramEnd"/>
      <w:r w:rsidRPr="009517B2">
        <w:rPr>
          <w:rFonts w:ascii="Verdana" w:eastAsia="Times New Roman" w:hAnsi="Verdana" w:cs="Times New Roman"/>
          <w:sz w:val="20"/>
          <w:szCs w:val="20"/>
          <w:lang w:eastAsia="es-MX"/>
        </w:rPr>
        <w:t xml:space="preserve"> II, 70 B y 89 F de la LCE, se emite la siguiente</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val="es-ES_tradnl" w:eastAsia="es-MX"/>
        </w:rPr>
        <w:t>RESOLUCIÓN</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 xml:space="preserve">24. </w:t>
      </w:r>
      <w:r w:rsidRPr="009517B2">
        <w:rPr>
          <w:rFonts w:ascii="Verdana" w:eastAsia="Times New Roman" w:hAnsi="Verdana" w:cs="Times New Roman"/>
          <w:sz w:val="20"/>
          <w:szCs w:val="20"/>
          <w:lang w:eastAsia="es-MX"/>
        </w:rPr>
        <w:t>Se declara el inicio del examen de vigencia de la cuota compensatoria definitiva impuesta a las importaciones de lápices originarias de China, independientemente del país de procedencia, que ingresan a través de la fracción arancelaria 9609.10.01 de la TIGIE, o por cualquier otra.</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25.</w:t>
      </w:r>
      <w:r w:rsidRPr="009517B2">
        <w:rPr>
          <w:rFonts w:ascii="Verdana" w:eastAsia="Times New Roman" w:hAnsi="Verdana" w:cs="Times New Roman"/>
          <w:sz w:val="20"/>
          <w:szCs w:val="20"/>
          <w:lang w:eastAsia="es-MX"/>
        </w:rPr>
        <w:t xml:space="preserve"> Se fija como periodo de examen el comprendido 1 de enero de 2018 al 31 de diciembre de 2018 y como periodo de análisis el comprendido del 1 de enero de 2014 al 31 de diciembre de 2018.</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 xml:space="preserve">26. </w:t>
      </w:r>
      <w:r w:rsidRPr="009517B2">
        <w:rPr>
          <w:rFonts w:ascii="Verdana" w:eastAsia="Times New Roman" w:hAnsi="Verdana" w:cs="Times New Roman"/>
          <w:sz w:val="20"/>
          <w:szCs w:val="20"/>
          <w:lang w:eastAsia="es-MX"/>
        </w:rPr>
        <w:t>Conforme a lo establecido en los artículos 11.3 del Acuerdo Antidumping, 70 fracción II y 89 F de la LCE y 94 del RLCE, la cuota compensatoria definitiva a que se refiere el punto 1 de la presente Resolución, continuará vigente mientras se tramita el presente procedimiento de examen de vigencia.</w:t>
      </w:r>
    </w:p>
    <w:p w:rsidR="009517B2" w:rsidRPr="009517B2" w:rsidRDefault="009517B2" w:rsidP="009517B2">
      <w:pPr>
        <w:spacing w:before="100" w:beforeAutospacing="1" w:after="100" w:afterAutospacing="1" w:line="224"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 xml:space="preserve">27. </w:t>
      </w:r>
      <w:r w:rsidRPr="009517B2">
        <w:rPr>
          <w:rFonts w:ascii="Verdana" w:eastAsia="Times New Roman" w:hAnsi="Verdana" w:cs="Times New Roman"/>
          <w:sz w:val="20"/>
          <w:szCs w:val="20"/>
          <w:lang w:eastAsia="es-MX"/>
        </w:rPr>
        <w:t xml:space="preserve">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w:t>
      </w:r>
      <w:bookmarkStart w:id="19" w:name="N_GoBack"/>
      <w:r w:rsidRPr="009517B2">
        <w:rPr>
          <w:rFonts w:ascii="Verdana" w:eastAsia="Times New Roman" w:hAnsi="Verdana" w:cs="Times New Roman"/>
          <w:sz w:val="20"/>
          <w:szCs w:val="20"/>
          <w:lang w:eastAsia="es-MX"/>
        </w:rPr>
        <w:t xml:space="preserve">para tal efecto, y los argumentos y las </w:t>
      </w:r>
      <w:bookmarkEnd w:id="19"/>
      <w:r w:rsidRPr="009517B2">
        <w:rPr>
          <w:rFonts w:ascii="Verdana" w:eastAsia="Times New Roman" w:hAnsi="Verdana" w:cs="Times New Roman"/>
          <w:sz w:val="20"/>
          <w:szCs w:val="20"/>
          <w:lang w:eastAsia="es-MX"/>
        </w:rPr>
        <w:t>pruebas que consideren convenientes. El plazo de 28 días hábiles se contará a partir del día siguiente de la publicación en el DOF de la presente Resolución y concluirá a las 14:00 horas del día de su vencimiento.</w:t>
      </w:r>
    </w:p>
    <w:p w:rsidR="009517B2" w:rsidRPr="009517B2" w:rsidRDefault="009517B2" w:rsidP="009517B2">
      <w:pPr>
        <w:spacing w:before="100" w:beforeAutospacing="1" w:after="100" w:afterAutospacing="1" w:line="240"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28.</w:t>
      </w:r>
      <w:r w:rsidRPr="009517B2">
        <w:rPr>
          <w:rFonts w:ascii="Verdana" w:eastAsia="Times New Roman" w:hAnsi="Verdana" w:cs="Times New Roman"/>
          <w:sz w:val="20"/>
          <w:szCs w:val="20"/>
          <w:lang w:eastAsia="es-MX"/>
        </w:rPr>
        <w:t xml:space="preserve"> El formulario oficial a que se refiere el punto anterior, se podrá obtener en la oficialía de partes de la UPCI, sita en Insurgentes Sur 1940, planta baja, Col. Florida, C.P. 01030, en la Ciudad de México, de lunes a viernes de 9:00 a 14:00 horas o en la página de Internet de la Secretaría.</w:t>
      </w:r>
    </w:p>
    <w:p w:rsidR="009517B2" w:rsidRPr="009517B2" w:rsidRDefault="009517B2" w:rsidP="009517B2">
      <w:pPr>
        <w:spacing w:before="100" w:beforeAutospacing="1" w:after="100" w:afterAutospacing="1" w:line="240"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29.</w:t>
      </w:r>
      <w:r w:rsidRPr="009517B2">
        <w:rPr>
          <w:rFonts w:ascii="Verdana" w:eastAsia="Times New Roman" w:hAnsi="Verdana" w:cs="Times New Roman"/>
          <w:sz w:val="20"/>
          <w:szCs w:val="20"/>
          <w:lang w:eastAsia="es-MX"/>
        </w:rPr>
        <w:t xml:space="preserve"> Notifíquese la presente Resolución a las posibles partes interesadas de que se tenga conocimiento.</w:t>
      </w:r>
    </w:p>
    <w:p w:rsidR="009517B2" w:rsidRPr="009517B2" w:rsidRDefault="009517B2" w:rsidP="009517B2">
      <w:pPr>
        <w:spacing w:before="100" w:beforeAutospacing="1" w:after="100" w:afterAutospacing="1" w:line="240"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30.</w:t>
      </w:r>
      <w:r w:rsidRPr="009517B2">
        <w:rPr>
          <w:rFonts w:ascii="Verdana" w:eastAsia="Times New Roman" w:hAnsi="Verdana" w:cs="Times New Roman"/>
          <w:sz w:val="20"/>
          <w:szCs w:val="20"/>
          <w:lang w:eastAsia="es-MX"/>
        </w:rPr>
        <w:t xml:space="preserve"> Comuníquese esta Resolución al Servicio de Administración Tributaria, para los efectos legales correspondientes.</w:t>
      </w:r>
    </w:p>
    <w:p w:rsidR="009517B2" w:rsidRPr="009517B2" w:rsidRDefault="009517B2" w:rsidP="009517B2">
      <w:pPr>
        <w:spacing w:before="100" w:beforeAutospacing="1" w:after="100" w:afterAutospacing="1" w:line="240" w:lineRule="exact"/>
        <w:rPr>
          <w:rFonts w:ascii="Verdana" w:eastAsia="Times New Roman" w:hAnsi="Verdana" w:cs="Times New Roman"/>
          <w:sz w:val="20"/>
          <w:szCs w:val="20"/>
          <w:lang w:eastAsia="es-MX"/>
        </w:rPr>
      </w:pPr>
      <w:r w:rsidRPr="009517B2">
        <w:rPr>
          <w:rFonts w:ascii="Verdana" w:eastAsia="Times New Roman" w:hAnsi="Verdana" w:cs="Times New Roman"/>
          <w:b/>
          <w:sz w:val="20"/>
          <w:szCs w:val="20"/>
          <w:lang w:eastAsia="es-MX"/>
        </w:rPr>
        <w:t>31.</w:t>
      </w:r>
      <w:r w:rsidRPr="009517B2">
        <w:rPr>
          <w:rFonts w:ascii="Verdana" w:eastAsia="Times New Roman" w:hAnsi="Verdana" w:cs="Times New Roman"/>
          <w:sz w:val="20"/>
          <w:szCs w:val="20"/>
          <w:lang w:eastAsia="es-MX"/>
        </w:rPr>
        <w:t xml:space="preserve"> La presente Resolución entrará en vigor al día siguiente de su publicación en el DOF.</w:t>
      </w:r>
    </w:p>
    <w:p w:rsidR="009517B2" w:rsidRPr="009517B2" w:rsidRDefault="009517B2" w:rsidP="009517B2">
      <w:pPr>
        <w:spacing w:before="100" w:beforeAutospacing="1" w:after="100" w:afterAutospacing="1" w:line="240" w:lineRule="exact"/>
        <w:rPr>
          <w:rFonts w:ascii="Verdana" w:eastAsia="Times New Roman" w:hAnsi="Verdana" w:cs="Times New Roman"/>
          <w:sz w:val="20"/>
          <w:szCs w:val="20"/>
          <w:lang w:eastAsia="es-MX"/>
        </w:rPr>
      </w:pPr>
      <w:r w:rsidRPr="009517B2">
        <w:rPr>
          <w:rFonts w:ascii="Verdana" w:eastAsia="Times New Roman" w:hAnsi="Verdana" w:cs="Times New Roman"/>
          <w:sz w:val="20"/>
          <w:szCs w:val="20"/>
          <w:lang w:eastAsia="es-MX"/>
        </w:rPr>
        <w:t xml:space="preserve">Ciudad de México, a 7 de mayo de 2019.- La Secretaria de Economía, </w:t>
      </w:r>
      <w:r w:rsidRPr="009517B2">
        <w:rPr>
          <w:rFonts w:ascii="Verdana" w:eastAsia="Times New Roman" w:hAnsi="Verdana" w:cs="Times New Roman"/>
          <w:b/>
          <w:sz w:val="20"/>
          <w:szCs w:val="20"/>
          <w:lang w:eastAsia="es-MX"/>
        </w:rPr>
        <w:t>Graciela Márquez Colín</w:t>
      </w:r>
      <w:r w:rsidRPr="009517B2">
        <w:rPr>
          <w:rFonts w:ascii="Verdana" w:eastAsia="Times New Roman" w:hAnsi="Verdana" w:cs="Times New Roman"/>
          <w:sz w:val="20"/>
          <w:szCs w:val="20"/>
          <w:lang w:eastAsia="es-MX"/>
        </w:rPr>
        <w:t>.- Rúbrica.</w:t>
      </w:r>
    </w:p>
    <w:p w:rsidR="00A762DB" w:rsidRPr="009517B2" w:rsidRDefault="00A762DB">
      <w:pPr>
        <w:rPr>
          <w:rFonts w:ascii="Verdana" w:hAnsi="Verdana"/>
          <w:sz w:val="20"/>
          <w:szCs w:val="20"/>
        </w:rPr>
      </w:pPr>
    </w:p>
    <w:sectPr w:rsidR="00A762DB" w:rsidRPr="009517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7B2"/>
    <w:rsid w:val="009517B2"/>
    <w:rsid w:val="00A762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9517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9517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9517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9517B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9517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9517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9517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9517B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19418">
      <w:bodyDiv w:val="1"/>
      <w:marLeft w:val="0"/>
      <w:marRight w:val="0"/>
      <w:marTop w:val="0"/>
      <w:marBottom w:val="0"/>
      <w:divBdr>
        <w:top w:val="none" w:sz="0" w:space="0" w:color="auto"/>
        <w:left w:val="none" w:sz="0" w:space="0" w:color="auto"/>
        <w:bottom w:val="none" w:sz="0" w:space="0" w:color="auto"/>
        <w:right w:val="none" w:sz="0" w:space="0" w:color="auto"/>
      </w:divBdr>
      <w:divsChild>
        <w:div w:id="1530099056">
          <w:marLeft w:val="0"/>
          <w:marRight w:val="0"/>
          <w:marTop w:val="0"/>
          <w:marBottom w:val="0"/>
          <w:divBdr>
            <w:top w:val="none" w:sz="0" w:space="0" w:color="auto"/>
            <w:left w:val="none" w:sz="0" w:space="0" w:color="auto"/>
            <w:bottom w:val="single" w:sz="12" w:space="1" w:color="auto"/>
            <w:right w:val="none" w:sz="0" w:space="0" w:color="auto"/>
          </w:divBdr>
        </w:div>
        <w:div w:id="101580889">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2328</Words>
  <Characters>12808</Characters>
  <Application>Microsoft Office Word</Application>
  <DocSecurity>0</DocSecurity>
  <Lines>106</Lines>
  <Paragraphs>30</Paragraphs>
  <ScaleCrop>false</ScaleCrop>
  <Company/>
  <LinksUpToDate>false</LinksUpToDate>
  <CharactersWithSpaces>15106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2019-05-16T14:31:00Z</dcterms:created>
  <dcterms:modified xsi:type="dcterms:W3CDTF">2019-05-16T14:32:00Z</dcterms:modified>
</cp:coreProperties>
</file>