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0E" w:rsidRDefault="0097690E" w:rsidP="0097690E">
      <w:pPr>
        <w:jc w:val="center"/>
        <w:rPr>
          <w:rFonts w:ascii="Verdana" w:hAnsi="Verdana"/>
          <w:b/>
          <w:bCs/>
          <w:color w:val="0070C0"/>
          <w:sz w:val="24"/>
          <w:szCs w:val="24"/>
        </w:rPr>
      </w:pPr>
      <w:r w:rsidRPr="0097690E">
        <w:rPr>
          <w:rFonts w:ascii="Verdana" w:hAnsi="Verdana"/>
          <w:b/>
          <w:bCs/>
          <w:color w:val="0070C0"/>
          <w:sz w:val="24"/>
          <w:szCs w:val="24"/>
        </w:rPr>
        <w:t>Acuerdo G/JGA/71/2018 de la Junta de Gobierno y Administración del Tribunal Federal de Justicia Administrativa, por el que se da a conocer la Adscripción del Magistrado Supernumerario Juan Pablo Garduño Venegas a la Tercera Ponencia de la Sala Regional del Norte-Centro IV y Auxiliar en Materia de Pensiones Civiles.</w:t>
      </w:r>
    </w:p>
    <w:p w:rsidR="0097690E" w:rsidRDefault="0097690E" w:rsidP="0097690E">
      <w:pPr>
        <w:jc w:val="center"/>
        <w:rPr>
          <w:rFonts w:ascii="Verdana" w:hAnsi="Verdana"/>
          <w:b/>
          <w:bCs/>
          <w:color w:val="0070C0"/>
          <w:sz w:val="24"/>
          <w:szCs w:val="24"/>
        </w:rPr>
      </w:pPr>
      <w:r>
        <w:rPr>
          <w:rFonts w:ascii="Verdana" w:hAnsi="Verdana"/>
          <w:b/>
          <w:bCs/>
          <w:color w:val="0070C0"/>
          <w:sz w:val="24"/>
          <w:szCs w:val="24"/>
        </w:rPr>
        <w:t>(DOF del 31 de octubre de 2018)</w:t>
      </w:r>
    </w:p>
    <w:p w:rsidR="0097690E" w:rsidRPr="0097690E" w:rsidRDefault="0097690E" w:rsidP="0097690E">
      <w:pPr>
        <w:jc w:val="both"/>
        <w:rPr>
          <w:rFonts w:ascii="Verdana" w:hAnsi="Verdana"/>
          <w:b/>
          <w:bCs/>
          <w:sz w:val="20"/>
          <w:szCs w:val="24"/>
        </w:rPr>
      </w:pPr>
      <w:r w:rsidRPr="0097690E">
        <w:rPr>
          <w:rFonts w:ascii="Verdana" w:hAnsi="Verdana"/>
          <w:b/>
          <w:bCs/>
          <w:sz w:val="20"/>
          <w:szCs w:val="24"/>
        </w:rPr>
        <w:t>Al margen un sello con el Escudo Nacional, que dice: Estados Unidos Mexicanos.- Tribunal Federal de Justicia Administrativa.- Junta de Gobierno y Administración.- Secretaría Auxiliar de la Junta de Gobierno y Administración.</w:t>
      </w:r>
    </w:p>
    <w:p w:rsidR="0097690E" w:rsidRPr="0097690E" w:rsidRDefault="0097690E" w:rsidP="0097690E">
      <w:pPr>
        <w:jc w:val="both"/>
        <w:rPr>
          <w:rFonts w:ascii="Verdana" w:hAnsi="Verdana"/>
          <w:b/>
          <w:bCs/>
          <w:sz w:val="20"/>
          <w:szCs w:val="24"/>
        </w:rPr>
      </w:pPr>
      <w:r w:rsidRPr="0097690E">
        <w:rPr>
          <w:rFonts w:ascii="Verdana" w:hAnsi="Verdana"/>
          <w:b/>
          <w:bCs/>
          <w:sz w:val="20"/>
          <w:szCs w:val="24"/>
        </w:rPr>
        <w:t>ACUERDO G/JGA/71/2018</w:t>
      </w:r>
    </w:p>
    <w:p w:rsidR="0097690E" w:rsidRPr="0097690E" w:rsidRDefault="0097690E" w:rsidP="0097690E">
      <w:pPr>
        <w:jc w:val="both"/>
        <w:rPr>
          <w:rFonts w:ascii="Verdana" w:hAnsi="Verdana"/>
          <w:bCs/>
          <w:sz w:val="20"/>
          <w:szCs w:val="24"/>
        </w:rPr>
      </w:pPr>
      <w:r w:rsidRPr="0097690E">
        <w:rPr>
          <w:rFonts w:ascii="Verdana" w:hAnsi="Verdana"/>
          <w:bCs/>
          <w:sz w:val="20"/>
          <w:szCs w:val="24"/>
        </w:rPr>
        <w:t>ADSCRIPCIÓN DEL MAGISTRADO SUPERNUMERARIO JUAN PABLO GARDUÑO VENEGAS A LA TERCERA PONENCIA DE LA SALA REGIONAL DEL NORTE-CENTRO IV Y AUXILIAR EN MATERIA DE PENSIONES CIVILES.</w:t>
      </w:r>
    </w:p>
    <w:p w:rsidR="0097690E" w:rsidRPr="0097690E" w:rsidRDefault="0097690E" w:rsidP="0097690E">
      <w:pPr>
        <w:jc w:val="both"/>
        <w:rPr>
          <w:rFonts w:ascii="Verdana" w:hAnsi="Verdana"/>
          <w:b/>
          <w:bCs/>
          <w:sz w:val="20"/>
          <w:szCs w:val="24"/>
        </w:rPr>
      </w:pPr>
      <w:r w:rsidRPr="0097690E">
        <w:rPr>
          <w:rFonts w:ascii="Verdana" w:hAnsi="Verdana"/>
          <w:b/>
          <w:bCs/>
          <w:sz w:val="20"/>
          <w:szCs w:val="24"/>
        </w:rPr>
        <w:t>CONSIDERANDO:</w:t>
      </w:r>
    </w:p>
    <w:p w:rsidR="0097690E" w:rsidRPr="0097690E" w:rsidRDefault="0097690E" w:rsidP="0097690E">
      <w:pPr>
        <w:jc w:val="both"/>
        <w:rPr>
          <w:rFonts w:ascii="Verdana" w:hAnsi="Verdana"/>
          <w:bCs/>
          <w:sz w:val="20"/>
          <w:szCs w:val="24"/>
        </w:rPr>
      </w:pPr>
      <w:r w:rsidRPr="0097690E">
        <w:rPr>
          <w:rFonts w:ascii="Verdana" w:hAnsi="Verdana"/>
          <w:b/>
          <w:bCs/>
          <w:sz w:val="20"/>
          <w:szCs w:val="24"/>
        </w:rPr>
        <w:t>1.</w:t>
      </w:r>
      <w:r w:rsidRPr="0097690E">
        <w:rPr>
          <w:rFonts w:ascii="Verdana" w:hAnsi="Verdana"/>
          <w:bCs/>
          <w:sz w:val="20"/>
          <w:szCs w:val="24"/>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97690E" w:rsidRPr="0097690E" w:rsidRDefault="0097690E" w:rsidP="0097690E">
      <w:pPr>
        <w:jc w:val="both"/>
        <w:rPr>
          <w:rFonts w:ascii="Verdana" w:hAnsi="Verdana"/>
          <w:bCs/>
          <w:sz w:val="20"/>
          <w:szCs w:val="24"/>
        </w:rPr>
      </w:pPr>
      <w:r w:rsidRPr="0097690E">
        <w:rPr>
          <w:rFonts w:ascii="Verdana" w:hAnsi="Verdana"/>
          <w:b/>
          <w:bCs/>
          <w:sz w:val="20"/>
          <w:szCs w:val="24"/>
        </w:rPr>
        <w:t>2. </w:t>
      </w:r>
      <w:r w:rsidRPr="0097690E">
        <w:rPr>
          <w:rFonts w:ascii="Verdana" w:hAnsi="Verdana"/>
          <w:bCs/>
          <w:sz w:val="20"/>
          <w:szCs w:val="24"/>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 y que en términos de la fracción II del artículo 23 de la misma Ley, es facultad de la Junta de Gobierno y Administración expedir los acuerdos necesarios para el buen funcionamiento del Tribunal;</w:t>
      </w:r>
    </w:p>
    <w:p w:rsidR="0097690E" w:rsidRPr="0097690E" w:rsidRDefault="0097690E" w:rsidP="0097690E">
      <w:pPr>
        <w:jc w:val="both"/>
        <w:rPr>
          <w:rFonts w:ascii="Verdana" w:hAnsi="Verdana"/>
          <w:bCs/>
          <w:sz w:val="20"/>
          <w:szCs w:val="24"/>
        </w:rPr>
      </w:pPr>
      <w:r w:rsidRPr="0097690E">
        <w:rPr>
          <w:rFonts w:ascii="Verdana" w:hAnsi="Verdana"/>
          <w:b/>
          <w:bCs/>
          <w:sz w:val="20"/>
          <w:szCs w:val="24"/>
        </w:rPr>
        <w:t>3.</w:t>
      </w:r>
      <w:r w:rsidRPr="0097690E">
        <w:rPr>
          <w:rFonts w:ascii="Verdana" w:hAnsi="Verdana"/>
          <w:bCs/>
          <w:sz w:val="20"/>
          <w:szCs w:val="24"/>
        </w:rPr>
        <w:t> Que en términos de los artículos 46 y 47, del Reglamento Interior del Tribunal Federal de Justicia Fiscal y Administrativa, vigente de conformidad con el Transitorio Quinto del Decreto por el que se expide la Ley General del Sistema Nacional Anticorrupción; la Ley General de Responsabilidades Administrativas, y la Ley Orgánica del Tribunal Federal de Justicia Administrativa; se entiende por administración la actividad tendiente a la correcta y adecuada planeación, organización, operación y control de las áreas del Tribunal que correspondan a sus competencias, y los acuerdos que apruebe y emita la Junta de Gobierno y Administración son instrumentos normativos de carácter obligatorio y de observancia general en el Tribunal;</w:t>
      </w:r>
    </w:p>
    <w:p w:rsidR="0097690E" w:rsidRPr="0097690E" w:rsidRDefault="0097690E" w:rsidP="0097690E">
      <w:pPr>
        <w:jc w:val="both"/>
        <w:rPr>
          <w:rFonts w:ascii="Verdana" w:hAnsi="Verdana"/>
          <w:bCs/>
          <w:sz w:val="20"/>
          <w:szCs w:val="24"/>
        </w:rPr>
      </w:pPr>
      <w:r w:rsidRPr="0097690E">
        <w:rPr>
          <w:rFonts w:ascii="Verdana" w:hAnsi="Verdana"/>
          <w:b/>
          <w:bCs/>
          <w:sz w:val="20"/>
          <w:szCs w:val="24"/>
        </w:rPr>
        <w:t>4. </w:t>
      </w:r>
      <w:r w:rsidRPr="0097690E">
        <w:rPr>
          <w:rFonts w:ascii="Verdana" w:hAnsi="Verdana"/>
          <w:bCs/>
          <w:sz w:val="20"/>
          <w:szCs w:val="24"/>
        </w:rPr>
        <w:t>Que el artículo 23, fracción VI, de la Ley Orgánica de este Tribunal, faculta a la Junta de Gobierno y Administración para adscribir a las Salas Regionales ordinarias, auxiliares, especializadas o mixtas a los Magistrados Regionales; asimismo la fracción VII, de dicha Ley, faculta al Órgano Colegiado para designar a los Magistrados Supernumerarios que cubrirán las ausencias de los Magistrados de Sala Regional;</w:t>
      </w:r>
    </w:p>
    <w:p w:rsidR="0097690E" w:rsidRPr="0097690E" w:rsidRDefault="0097690E" w:rsidP="0097690E">
      <w:pPr>
        <w:jc w:val="both"/>
        <w:rPr>
          <w:rFonts w:ascii="Verdana" w:hAnsi="Verdana"/>
          <w:bCs/>
          <w:sz w:val="20"/>
          <w:szCs w:val="24"/>
        </w:rPr>
      </w:pPr>
      <w:r w:rsidRPr="0097690E">
        <w:rPr>
          <w:rFonts w:ascii="Verdana" w:hAnsi="Verdana"/>
          <w:b/>
          <w:bCs/>
          <w:sz w:val="20"/>
          <w:szCs w:val="24"/>
        </w:rPr>
        <w:t>5.</w:t>
      </w:r>
      <w:r w:rsidRPr="0097690E">
        <w:rPr>
          <w:rFonts w:ascii="Verdana" w:hAnsi="Verdana"/>
          <w:bCs/>
          <w:sz w:val="20"/>
          <w:szCs w:val="24"/>
        </w:rPr>
        <w:t xml:space="preserve"> Que el artículo 48 de la citada Ley Orgánica, establece que las faltas definitivas de Magistrados en Salas Regionales, serán cubiertas provisionalmente por los Magistrados </w:t>
      </w:r>
      <w:r w:rsidRPr="0097690E">
        <w:rPr>
          <w:rFonts w:ascii="Verdana" w:hAnsi="Verdana"/>
          <w:bCs/>
          <w:sz w:val="20"/>
          <w:szCs w:val="24"/>
        </w:rPr>
        <w:lastRenderedPageBreak/>
        <w:t>Supernumerarios adscritos por la Junta de Gobierno y Administración o a falta de ellos por el primer secretario del Magistrado ausente, hasta en tanto se realice un nuevo nombramiento. Asimismo, dispone que las faltas temporales y las comisiones a que se refiere la fracción XVI del artículo 23 de dicha Ley hasta por un mes de los Magistrados en Salas Regionales, se suplan por el primer secretario del Magistrado ausente. Las faltas temporales o las comisiones antes citadas superiores a un mes serán cubiertas por los Magistrados Supernumerarios o a falta de éstos por el primer secretario del Magistrado ausente. La suplencia comprenderá todo el lapso de la falta temporal, o de la comisión, salvo en aquellos casos en los que la Junta determine la conclusión anticipada de la misma;</w:t>
      </w:r>
    </w:p>
    <w:p w:rsidR="0097690E" w:rsidRPr="0097690E" w:rsidRDefault="0097690E" w:rsidP="0097690E">
      <w:pPr>
        <w:jc w:val="both"/>
        <w:rPr>
          <w:rFonts w:ascii="Verdana" w:hAnsi="Verdana"/>
          <w:bCs/>
          <w:sz w:val="20"/>
          <w:szCs w:val="24"/>
        </w:rPr>
      </w:pPr>
      <w:r w:rsidRPr="0097690E">
        <w:rPr>
          <w:rFonts w:ascii="Verdana" w:hAnsi="Verdana"/>
          <w:b/>
          <w:bCs/>
          <w:sz w:val="20"/>
          <w:szCs w:val="24"/>
        </w:rPr>
        <w:t>6. </w:t>
      </w:r>
      <w:r w:rsidRPr="0097690E">
        <w:rPr>
          <w:rFonts w:ascii="Verdana" w:hAnsi="Verdana"/>
          <w:bCs/>
          <w:sz w:val="20"/>
          <w:szCs w:val="24"/>
        </w:rPr>
        <w:t>Que mediante Acuerdo G/JGA/16/2014, dictado por la Junta de Gobierno y Administración en sesión de fecha veintinueve de abril de dos mil catorce, se adscribió al Magistrado Luis Moisés García Hernández a la Tercera Ponencia de la Sala Regional del Norte-Centro IV y Auxiliar en Materia de Pensiones Civiles;</w:t>
      </w:r>
    </w:p>
    <w:p w:rsidR="0097690E" w:rsidRPr="0097690E" w:rsidRDefault="0097690E" w:rsidP="0097690E">
      <w:pPr>
        <w:jc w:val="both"/>
        <w:rPr>
          <w:rFonts w:ascii="Verdana" w:hAnsi="Verdana"/>
          <w:bCs/>
          <w:sz w:val="20"/>
          <w:szCs w:val="24"/>
        </w:rPr>
      </w:pPr>
      <w:r w:rsidRPr="0097690E">
        <w:rPr>
          <w:rFonts w:ascii="Verdana" w:hAnsi="Verdana"/>
          <w:b/>
          <w:bCs/>
          <w:sz w:val="20"/>
          <w:szCs w:val="24"/>
        </w:rPr>
        <w:t>7. </w:t>
      </w:r>
      <w:r w:rsidRPr="0097690E">
        <w:rPr>
          <w:rFonts w:ascii="Verdana" w:hAnsi="Verdana"/>
          <w:bCs/>
          <w:sz w:val="20"/>
          <w:szCs w:val="24"/>
        </w:rPr>
        <w:t>Que de conformidad con el párrafo primero del artículo 48, de la Ley Orgánica de este Órgano Jurisdiccional, en sesión de esta fecha, la Junta de Gobierno y Administración tomó conocimiento que a partir del veintiocho del presente mes y año, concluye el periodo de diez años para el cual fue nombrado el Magistrado Luis Moisés García Hernández;</w:t>
      </w:r>
    </w:p>
    <w:p w:rsidR="0097690E" w:rsidRPr="0097690E" w:rsidRDefault="0097690E" w:rsidP="0097690E">
      <w:pPr>
        <w:jc w:val="both"/>
        <w:rPr>
          <w:rFonts w:ascii="Verdana" w:hAnsi="Verdana"/>
          <w:bCs/>
          <w:sz w:val="20"/>
          <w:szCs w:val="24"/>
        </w:rPr>
      </w:pPr>
      <w:r w:rsidRPr="0097690E">
        <w:rPr>
          <w:rFonts w:ascii="Verdana" w:hAnsi="Verdana"/>
          <w:bCs/>
          <w:sz w:val="20"/>
          <w:szCs w:val="24"/>
        </w:rPr>
        <w:t> </w:t>
      </w:r>
    </w:p>
    <w:p w:rsidR="0097690E" w:rsidRPr="0097690E" w:rsidRDefault="0097690E" w:rsidP="0097690E">
      <w:pPr>
        <w:jc w:val="both"/>
        <w:rPr>
          <w:rFonts w:ascii="Verdana" w:hAnsi="Verdana"/>
          <w:bCs/>
          <w:sz w:val="20"/>
          <w:szCs w:val="24"/>
        </w:rPr>
      </w:pPr>
      <w:r w:rsidRPr="0097690E">
        <w:rPr>
          <w:rFonts w:ascii="Verdana" w:hAnsi="Verdana"/>
          <w:b/>
          <w:bCs/>
          <w:sz w:val="20"/>
          <w:szCs w:val="24"/>
        </w:rPr>
        <w:t>8. </w:t>
      </w:r>
      <w:r w:rsidRPr="0097690E">
        <w:rPr>
          <w:rFonts w:ascii="Verdana" w:hAnsi="Verdana"/>
          <w:bCs/>
          <w:sz w:val="20"/>
          <w:szCs w:val="24"/>
        </w:rPr>
        <w:t>Que</w:t>
      </w:r>
      <w:r w:rsidRPr="0097690E">
        <w:rPr>
          <w:rFonts w:ascii="Verdana" w:hAnsi="Verdana"/>
          <w:b/>
          <w:bCs/>
          <w:sz w:val="20"/>
          <w:szCs w:val="24"/>
        </w:rPr>
        <w:t> </w:t>
      </w:r>
      <w:r w:rsidRPr="0097690E">
        <w:rPr>
          <w:rFonts w:ascii="Verdana" w:hAnsi="Verdana"/>
          <w:bCs/>
          <w:sz w:val="20"/>
          <w:szCs w:val="24"/>
        </w:rPr>
        <w:t>de acuerdo con lo establecido en el</w:t>
      </w:r>
      <w:r w:rsidRPr="0097690E">
        <w:rPr>
          <w:rFonts w:ascii="Verdana" w:hAnsi="Verdana"/>
          <w:b/>
          <w:bCs/>
          <w:sz w:val="20"/>
          <w:szCs w:val="24"/>
        </w:rPr>
        <w:t> </w:t>
      </w:r>
      <w:r w:rsidRPr="0097690E">
        <w:rPr>
          <w:rFonts w:ascii="Verdana" w:hAnsi="Verdana"/>
          <w:bCs/>
          <w:sz w:val="20"/>
          <w:szCs w:val="24"/>
        </w:rPr>
        <w:t>artículo 29 de la Ley Orgánica del Tribunal Federal de Justicia Administrativa, es imperativa la debida integración de la Sala Regional del Norte-Centro IV y Auxiliar en Materia de Pensiones Civiles de este Tribunal, con tres Magistrados;</w:t>
      </w:r>
    </w:p>
    <w:p w:rsidR="0097690E" w:rsidRPr="0097690E" w:rsidRDefault="0097690E" w:rsidP="0097690E">
      <w:pPr>
        <w:jc w:val="both"/>
        <w:rPr>
          <w:rFonts w:ascii="Verdana" w:hAnsi="Verdana"/>
          <w:bCs/>
          <w:sz w:val="20"/>
          <w:szCs w:val="24"/>
        </w:rPr>
      </w:pPr>
      <w:r w:rsidRPr="0097690E">
        <w:rPr>
          <w:rFonts w:ascii="Verdana" w:hAnsi="Verdana"/>
          <w:b/>
          <w:bCs/>
          <w:sz w:val="20"/>
          <w:szCs w:val="24"/>
        </w:rPr>
        <w:t>9.</w:t>
      </w:r>
      <w:r w:rsidRPr="0097690E">
        <w:rPr>
          <w:rFonts w:ascii="Verdana" w:hAnsi="Verdana"/>
          <w:bCs/>
          <w:sz w:val="20"/>
          <w:szCs w:val="24"/>
        </w:rPr>
        <w:t> En ese sentido, el veinticinco de abril de dos mil dieciocho, la Cámara de Senadores del Congreso de la Unión aprobó el nombramiento de Magistrado Supernumerario de Sala Regional propuesto por el Presidente de la República, por un periodo de diez años a favor del ciudadano Juan Pablo Garduño Venegas, con efectos a partir del uno de julio de dos mil dieciocho;</w:t>
      </w:r>
    </w:p>
    <w:p w:rsidR="0097690E" w:rsidRPr="0097690E" w:rsidRDefault="0097690E" w:rsidP="0097690E">
      <w:pPr>
        <w:jc w:val="both"/>
        <w:rPr>
          <w:rFonts w:ascii="Verdana" w:hAnsi="Verdana"/>
          <w:bCs/>
          <w:sz w:val="20"/>
          <w:szCs w:val="24"/>
        </w:rPr>
      </w:pPr>
      <w:r w:rsidRPr="0097690E">
        <w:rPr>
          <w:rFonts w:ascii="Verdana" w:hAnsi="Verdana"/>
          <w:b/>
          <w:bCs/>
          <w:sz w:val="20"/>
          <w:szCs w:val="24"/>
        </w:rPr>
        <w:t>10. </w:t>
      </w:r>
      <w:r w:rsidRPr="0097690E">
        <w:rPr>
          <w:rFonts w:ascii="Verdana" w:hAnsi="Verdana"/>
          <w:bCs/>
          <w:sz w:val="20"/>
          <w:szCs w:val="24"/>
        </w:rPr>
        <w:t>Que en virtud de lo señalado en el Considerando siete del presente Acuerdo, así como en atención al nombramiento otorgado a favor del Magistrado Supernumerario Juan Pablo Garduño Venegas, la Junta de Gobierno y Administración considera necesario, dadas las necesidades del servicio de la Sala Regional Norte-Centro IV y Auxiliar en Materia de Pensiones Civiles y para el buen funcionamiento del Tribunal, adscribirlo a la Tercera Ponencia de la mencionada Sala, con efectos a partir del veintinueve de octubre de dos mil dieciocho</w:t>
      </w:r>
    </w:p>
    <w:p w:rsidR="0097690E" w:rsidRPr="0097690E" w:rsidRDefault="0097690E" w:rsidP="0097690E">
      <w:pPr>
        <w:jc w:val="both"/>
        <w:rPr>
          <w:rFonts w:ascii="Verdana" w:hAnsi="Verdana"/>
          <w:bCs/>
          <w:sz w:val="20"/>
          <w:szCs w:val="24"/>
        </w:rPr>
      </w:pPr>
      <w:r w:rsidRPr="0097690E">
        <w:rPr>
          <w:rFonts w:ascii="Verdana" w:hAnsi="Verdana"/>
          <w:bCs/>
          <w:sz w:val="20"/>
          <w:szCs w:val="24"/>
        </w:rPr>
        <w:t>Con fundamento en lo dispuesto por los artículos 17, de la Constitución Política de los Estados Unidos Mexicanos; 21, 23, fracciones II, VI y VII, 29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97690E" w:rsidRPr="0097690E" w:rsidRDefault="0097690E" w:rsidP="0097690E">
      <w:pPr>
        <w:jc w:val="both"/>
        <w:rPr>
          <w:rFonts w:ascii="Verdana" w:hAnsi="Verdana"/>
          <w:b/>
          <w:bCs/>
          <w:sz w:val="20"/>
          <w:szCs w:val="24"/>
        </w:rPr>
      </w:pPr>
      <w:r w:rsidRPr="0097690E">
        <w:rPr>
          <w:rFonts w:ascii="Verdana" w:hAnsi="Verdana"/>
          <w:b/>
          <w:bCs/>
          <w:sz w:val="20"/>
          <w:szCs w:val="24"/>
        </w:rPr>
        <w:t>ACUERDO:</w:t>
      </w:r>
    </w:p>
    <w:p w:rsidR="0097690E" w:rsidRPr="0097690E" w:rsidRDefault="0097690E" w:rsidP="0097690E">
      <w:pPr>
        <w:jc w:val="both"/>
        <w:rPr>
          <w:rFonts w:ascii="Verdana" w:hAnsi="Verdana"/>
          <w:bCs/>
          <w:sz w:val="20"/>
          <w:szCs w:val="24"/>
        </w:rPr>
      </w:pPr>
      <w:r w:rsidRPr="0097690E">
        <w:rPr>
          <w:rFonts w:ascii="Verdana" w:hAnsi="Verdana"/>
          <w:b/>
          <w:bCs/>
          <w:sz w:val="20"/>
          <w:szCs w:val="24"/>
        </w:rPr>
        <w:t>Primero. </w:t>
      </w:r>
      <w:r w:rsidRPr="0097690E">
        <w:rPr>
          <w:rFonts w:ascii="Verdana" w:hAnsi="Verdana"/>
          <w:bCs/>
          <w:sz w:val="20"/>
          <w:szCs w:val="24"/>
        </w:rPr>
        <w:t>A</w:t>
      </w:r>
      <w:r w:rsidRPr="0097690E">
        <w:rPr>
          <w:rFonts w:ascii="Verdana" w:hAnsi="Verdana"/>
          <w:b/>
          <w:bCs/>
          <w:sz w:val="20"/>
          <w:szCs w:val="24"/>
        </w:rPr>
        <w:t> </w:t>
      </w:r>
      <w:r w:rsidRPr="0097690E">
        <w:rPr>
          <w:rFonts w:ascii="Verdana" w:hAnsi="Verdana"/>
          <w:bCs/>
          <w:sz w:val="20"/>
          <w:szCs w:val="24"/>
        </w:rPr>
        <w:t xml:space="preserve">partir del veintinueve de octubre de dos mil dieciocho, se deja sin efectos la adscripción del Magistrado Luis Moisés García Hernández en la Tercera Ponencia de la Sala Regional del Norte-Centro IV y Auxiliar en Materia de Pensiones Civiles, establecida mediante </w:t>
      </w:r>
      <w:r w:rsidRPr="0097690E">
        <w:rPr>
          <w:rFonts w:ascii="Verdana" w:hAnsi="Verdana"/>
          <w:bCs/>
          <w:sz w:val="20"/>
          <w:szCs w:val="24"/>
        </w:rPr>
        <w:lastRenderedPageBreak/>
        <w:t>Acuerdo G/JGA/16/2014, dictado por la Junta de Gobierno y Administración en sesión de fecha veintinueve de abril de dos mil catorce.</w:t>
      </w:r>
    </w:p>
    <w:p w:rsidR="0097690E" w:rsidRPr="0097690E" w:rsidRDefault="0097690E" w:rsidP="0097690E">
      <w:pPr>
        <w:jc w:val="both"/>
        <w:rPr>
          <w:rFonts w:ascii="Verdana" w:hAnsi="Verdana"/>
          <w:bCs/>
          <w:sz w:val="20"/>
          <w:szCs w:val="24"/>
        </w:rPr>
      </w:pPr>
      <w:r w:rsidRPr="0097690E">
        <w:rPr>
          <w:rFonts w:ascii="Verdana" w:hAnsi="Verdana"/>
          <w:b/>
          <w:bCs/>
          <w:sz w:val="20"/>
          <w:szCs w:val="24"/>
        </w:rPr>
        <w:t>Segundo.</w:t>
      </w:r>
      <w:r w:rsidRPr="0097690E">
        <w:rPr>
          <w:rFonts w:ascii="Verdana" w:hAnsi="Verdana"/>
          <w:bCs/>
          <w:sz w:val="20"/>
          <w:szCs w:val="24"/>
        </w:rPr>
        <w:t> A partir del veintinueve de octubre de dos mil dieciocho, se adscribe al Magistrado Supernumerario Juan Pablo Garduño Venegas a la Tercera Ponencia de la Sala Regional del Norte-Centro IV y Auxiliar en Materia de Pensiones Civiles del Tribunal Federal de Justicia Administrativa.</w:t>
      </w:r>
    </w:p>
    <w:p w:rsidR="0097690E" w:rsidRPr="0097690E" w:rsidRDefault="0097690E" w:rsidP="0097690E">
      <w:pPr>
        <w:jc w:val="both"/>
        <w:rPr>
          <w:rFonts w:ascii="Verdana" w:hAnsi="Verdana"/>
          <w:bCs/>
          <w:sz w:val="20"/>
          <w:szCs w:val="24"/>
        </w:rPr>
      </w:pPr>
      <w:r w:rsidRPr="0097690E">
        <w:rPr>
          <w:rFonts w:ascii="Verdana" w:hAnsi="Verdana"/>
          <w:b/>
          <w:bCs/>
          <w:sz w:val="20"/>
          <w:szCs w:val="24"/>
        </w:rPr>
        <w:t>Tercero. </w:t>
      </w:r>
      <w:r w:rsidRPr="0097690E">
        <w:rPr>
          <w:rFonts w:ascii="Verdana" w:hAnsi="Verdana"/>
          <w:bCs/>
          <w:sz w:val="20"/>
          <w:szCs w:val="24"/>
        </w:rPr>
        <w:t>El Magistrado Luis Moisés García Hernández deberá entregar la Ponencia a que se hace referencia en el Acuerdo Primero del presente documento, conforme a lo señalado en el artículo 105 del Reglamento Interior de este Tribunal.</w:t>
      </w:r>
    </w:p>
    <w:p w:rsidR="0097690E" w:rsidRPr="0097690E" w:rsidRDefault="0097690E" w:rsidP="0097690E">
      <w:pPr>
        <w:jc w:val="both"/>
        <w:rPr>
          <w:rFonts w:ascii="Verdana" w:hAnsi="Verdana"/>
          <w:bCs/>
          <w:sz w:val="20"/>
          <w:szCs w:val="24"/>
        </w:rPr>
      </w:pPr>
      <w:r w:rsidRPr="0097690E">
        <w:rPr>
          <w:rFonts w:ascii="Verdana" w:hAnsi="Verdana"/>
          <w:b/>
          <w:bCs/>
          <w:sz w:val="20"/>
          <w:szCs w:val="24"/>
        </w:rPr>
        <w:t>Cuarto. </w:t>
      </w:r>
      <w:r w:rsidRPr="0097690E">
        <w:rPr>
          <w:rFonts w:ascii="Verdana" w:hAnsi="Verdana"/>
          <w:bCs/>
          <w:sz w:val="20"/>
          <w:szCs w:val="24"/>
        </w:rPr>
        <w:t>El Magistrado Supernumerario Juan Pablo Garduño Venegas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97690E" w:rsidRPr="0097690E" w:rsidRDefault="0097690E" w:rsidP="0097690E">
      <w:pPr>
        <w:jc w:val="both"/>
        <w:rPr>
          <w:rFonts w:ascii="Verdana" w:hAnsi="Verdana"/>
          <w:bCs/>
          <w:sz w:val="20"/>
          <w:szCs w:val="24"/>
        </w:rPr>
      </w:pPr>
      <w:r w:rsidRPr="0097690E">
        <w:rPr>
          <w:rFonts w:ascii="Verdana" w:hAnsi="Verdana"/>
          <w:b/>
          <w:bCs/>
          <w:sz w:val="20"/>
          <w:szCs w:val="24"/>
        </w:rPr>
        <w:t>Quinto. </w:t>
      </w:r>
      <w:r w:rsidRPr="0097690E">
        <w:rPr>
          <w:rFonts w:ascii="Verdana" w:hAnsi="Verdana"/>
          <w:bCs/>
          <w:sz w:val="20"/>
          <w:szCs w:val="24"/>
        </w:rPr>
        <w:t>Notifíquese el presente Acuerdo a los Magistrados Luis Moisés García Hernández y Juan Pablo Garduño Venegas (Supernumerario).</w:t>
      </w:r>
    </w:p>
    <w:p w:rsidR="0097690E" w:rsidRPr="0097690E" w:rsidRDefault="0097690E" w:rsidP="0097690E">
      <w:pPr>
        <w:jc w:val="both"/>
        <w:rPr>
          <w:rFonts w:ascii="Verdana" w:hAnsi="Verdana"/>
          <w:bCs/>
          <w:sz w:val="20"/>
          <w:szCs w:val="24"/>
        </w:rPr>
      </w:pPr>
      <w:r w:rsidRPr="0097690E">
        <w:rPr>
          <w:rFonts w:ascii="Verdana" w:hAnsi="Verdana"/>
          <w:b/>
          <w:bCs/>
          <w:sz w:val="20"/>
          <w:szCs w:val="24"/>
        </w:rPr>
        <w:t>Sexto. </w:t>
      </w:r>
      <w:r w:rsidRPr="0097690E">
        <w:rPr>
          <w:rFonts w:ascii="Verdana" w:hAnsi="Verdana"/>
          <w:bCs/>
          <w:sz w:val="20"/>
          <w:szCs w:val="24"/>
        </w:rPr>
        <w:t>Publíquese el presente Acuerdo en el Diario Oficial de la Federación y en la página web institucional del Tribunal Federal de Justicia Administrativa.</w:t>
      </w:r>
    </w:p>
    <w:p w:rsidR="0097690E" w:rsidRPr="0097690E" w:rsidRDefault="0097690E" w:rsidP="0097690E">
      <w:pPr>
        <w:jc w:val="both"/>
        <w:rPr>
          <w:rFonts w:ascii="Verdana" w:hAnsi="Verdana"/>
          <w:bCs/>
          <w:sz w:val="20"/>
          <w:szCs w:val="24"/>
        </w:rPr>
      </w:pPr>
      <w:r w:rsidRPr="0097690E">
        <w:rPr>
          <w:rFonts w:ascii="Verdana" w:hAnsi="Verdana"/>
          <w:b/>
          <w:bCs/>
          <w:sz w:val="20"/>
          <w:szCs w:val="24"/>
        </w:rPr>
        <w:t>Séptimo. </w:t>
      </w:r>
      <w:r w:rsidRPr="0097690E">
        <w:rPr>
          <w:rFonts w:ascii="Verdana" w:hAnsi="Verdana"/>
          <w:bCs/>
          <w:sz w:val="20"/>
          <w:szCs w:val="24"/>
        </w:rPr>
        <w:t>Otórguense las facilidades administrativas que sean necesarias para el cumplimiento del presente Acuerdo.</w:t>
      </w:r>
    </w:p>
    <w:p w:rsidR="0097690E" w:rsidRPr="0097690E" w:rsidRDefault="0097690E" w:rsidP="0097690E">
      <w:pPr>
        <w:jc w:val="both"/>
        <w:rPr>
          <w:rFonts w:ascii="Verdana" w:hAnsi="Verdana"/>
          <w:bCs/>
          <w:sz w:val="20"/>
          <w:szCs w:val="24"/>
        </w:rPr>
      </w:pPr>
      <w:r w:rsidRPr="0097690E">
        <w:rPr>
          <w:rFonts w:ascii="Verdana" w:hAnsi="Verdana"/>
          <w:bCs/>
          <w:sz w:val="20"/>
          <w:szCs w:val="24"/>
        </w:rPr>
        <w:t xml:space="preserve">Dictado en sesión de fecha veintitrés de octubre de dos mil dieciocho, por unanimidad de votos de los Magistrados Adalberto Gaspar Salgado Borrego, Guillermo Valls </w:t>
      </w:r>
      <w:proofErr w:type="spellStart"/>
      <w:r w:rsidRPr="0097690E">
        <w:rPr>
          <w:rFonts w:ascii="Verdana" w:hAnsi="Verdana"/>
          <w:bCs/>
          <w:sz w:val="20"/>
          <w:szCs w:val="24"/>
        </w:rPr>
        <w:t>Esponda</w:t>
      </w:r>
      <w:proofErr w:type="spellEnd"/>
      <w:r w:rsidRPr="0097690E">
        <w:rPr>
          <w:rFonts w:ascii="Verdana" w:hAnsi="Verdana"/>
          <w:bCs/>
          <w:sz w:val="20"/>
          <w:szCs w:val="24"/>
        </w:rPr>
        <w:t xml:space="preserve">, Juan Ángel Chávez Ramírez y Carlos </w:t>
      </w:r>
      <w:proofErr w:type="spellStart"/>
      <w:r w:rsidRPr="0097690E">
        <w:rPr>
          <w:rFonts w:ascii="Verdana" w:hAnsi="Verdana"/>
          <w:bCs/>
          <w:sz w:val="20"/>
          <w:szCs w:val="24"/>
        </w:rPr>
        <w:t>Chaurand</w:t>
      </w:r>
      <w:proofErr w:type="spellEnd"/>
      <w:r w:rsidRPr="0097690E">
        <w:rPr>
          <w:rFonts w:ascii="Verdana" w:hAnsi="Verdana"/>
          <w:bCs/>
          <w:sz w:val="20"/>
          <w:szCs w:val="24"/>
        </w:rPr>
        <w:t xml:space="preserve"> Arzate.- Firman el Magistrado </w:t>
      </w:r>
      <w:r w:rsidRPr="0097690E">
        <w:rPr>
          <w:rFonts w:ascii="Verdana" w:hAnsi="Verdana"/>
          <w:b/>
          <w:bCs/>
          <w:sz w:val="20"/>
          <w:szCs w:val="24"/>
        </w:rPr>
        <w:t xml:space="preserve">Carlos </w:t>
      </w:r>
      <w:proofErr w:type="spellStart"/>
      <w:r w:rsidRPr="0097690E">
        <w:rPr>
          <w:rFonts w:ascii="Verdana" w:hAnsi="Verdana"/>
          <w:b/>
          <w:bCs/>
          <w:sz w:val="20"/>
          <w:szCs w:val="24"/>
        </w:rPr>
        <w:t>Chaurand</w:t>
      </w:r>
      <w:proofErr w:type="spellEnd"/>
      <w:r w:rsidRPr="0097690E">
        <w:rPr>
          <w:rFonts w:ascii="Verdana" w:hAnsi="Verdana"/>
          <w:b/>
          <w:bCs/>
          <w:sz w:val="20"/>
          <w:szCs w:val="24"/>
        </w:rPr>
        <w:t xml:space="preserve"> Arzate</w:t>
      </w:r>
      <w:r w:rsidRPr="0097690E">
        <w:rPr>
          <w:rFonts w:ascii="Verdana" w:hAnsi="Verdana"/>
          <w:bCs/>
          <w:sz w:val="20"/>
          <w:szCs w:val="24"/>
        </w:rPr>
        <w:t>, Presidente de la Junta de Gobierno y Administración del Tribunal Federal de Justicia Administrativa, y el Licenciado </w:t>
      </w:r>
      <w:r w:rsidRPr="0097690E">
        <w:rPr>
          <w:rFonts w:ascii="Verdana" w:hAnsi="Verdana"/>
          <w:b/>
          <w:bCs/>
          <w:sz w:val="20"/>
          <w:szCs w:val="24"/>
        </w:rPr>
        <w:t>Pedro Alberto De La Rosa Manzano</w:t>
      </w:r>
      <w:r w:rsidRPr="0097690E">
        <w:rPr>
          <w:rFonts w:ascii="Verdana" w:hAnsi="Verdana"/>
          <w:bCs/>
          <w:sz w:val="20"/>
          <w:szCs w:val="24"/>
        </w:rPr>
        <w:t xml:space="preserve">, Secretario Auxiliar de la Junta de Gobierno y Administración, quien da fe; con fundamento en los artículos 54, fracción XVI y 61, fracciones II y III, de la Ley Orgánica del Tribunal Federal de </w:t>
      </w:r>
      <w:proofErr w:type="spellStart"/>
      <w:r w:rsidRPr="0097690E">
        <w:rPr>
          <w:rFonts w:ascii="Verdana" w:hAnsi="Verdana"/>
          <w:bCs/>
          <w:sz w:val="20"/>
          <w:szCs w:val="24"/>
        </w:rPr>
        <w:t>JusticiaAdministrativa</w:t>
      </w:r>
      <w:proofErr w:type="spellEnd"/>
      <w:r w:rsidRPr="0097690E">
        <w:rPr>
          <w:rFonts w:ascii="Verdana" w:hAnsi="Verdana"/>
          <w:bCs/>
          <w:sz w:val="20"/>
          <w:szCs w:val="24"/>
        </w:rPr>
        <w:t>; 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97690E" w:rsidRPr="0097690E" w:rsidRDefault="0097690E" w:rsidP="0097690E">
      <w:pPr>
        <w:jc w:val="both"/>
        <w:rPr>
          <w:rFonts w:ascii="Verdana" w:hAnsi="Verdana"/>
          <w:bCs/>
          <w:sz w:val="20"/>
          <w:szCs w:val="24"/>
        </w:rPr>
      </w:pPr>
      <w:r w:rsidRPr="0097690E">
        <w:rPr>
          <w:rFonts w:ascii="Verdana" w:hAnsi="Verdana"/>
          <w:bCs/>
          <w:sz w:val="20"/>
          <w:szCs w:val="24"/>
        </w:rPr>
        <w:t> </w:t>
      </w:r>
    </w:p>
    <w:p w:rsidR="0097690E" w:rsidRPr="0097690E" w:rsidRDefault="0097690E" w:rsidP="0097690E">
      <w:pPr>
        <w:jc w:val="both"/>
        <w:rPr>
          <w:rFonts w:ascii="Verdana" w:hAnsi="Verdana"/>
          <w:bCs/>
          <w:sz w:val="20"/>
          <w:szCs w:val="24"/>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0E"/>
    <w:rsid w:val="0047264B"/>
    <w:rsid w:val="00807AD8"/>
    <w:rsid w:val="0097690E"/>
    <w:rsid w:val="00A0102E"/>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12A87-BD9F-4B39-95E5-CCC138D4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1528">
      <w:bodyDiv w:val="1"/>
      <w:marLeft w:val="0"/>
      <w:marRight w:val="0"/>
      <w:marTop w:val="0"/>
      <w:marBottom w:val="0"/>
      <w:divBdr>
        <w:top w:val="none" w:sz="0" w:space="0" w:color="auto"/>
        <w:left w:val="none" w:sz="0" w:space="0" w:color="auto"/>
        <w:bottom w:val="none" w:sz="0" w:space="0" w:color="auto"/>
        <w:right w:val="none" w:sz="0" w:space="0" w:color="auto"/>
      </w:divBdr>
    </w:div>
    <w:div w:id="773136246">
      <w:bodyDiv w:val="1"/>
      <w:marLeft w:val="0"/>
      <w:marRight w:val="0"/>
      <w:marTop w:val="0"/>
      <w:marBottom w:val="0"/>
      <w:divBdr>
        <w:top w:val="none" w:sz="0" w:space="0" w:color="auto"/>
        <w:left w:val="none" w:sz="0" w:space="0" w:color="auto"/>
        <w:bottom w:val="none" w:sz="0" w:space="0" w:color="auto"/>
        <w:right w:val="none" w:sz="0" w:space="0" w:color="auto"/>
      </w:divBdr>
      <w:divsChild>
        <w:div w:id="846989192">
          <w:marLeft w:val="0"/>
          <w:marRight w:val="0"/>
          <w:marTop w:val="101"/>
          <w:marBottom w:val="101"/>
          <w:divBdr>
            <w:top w:val="none" w:sz="0" w:space="0" w:color="auto"/>
            <w:left w:val="none" w:sz="0" w:space="0" w:color="auto"/>
            <w:bottom w:val="none" w:sz="0" w:space="0" w:color="auto"/>
            <w:right w:val="none" w:sz="0" w:space="0" w:color="auto"/>
          </w:divBdr>
        </w:div>
        <w:div w:id="1772965752">
          <w:marLeft w:val="0"/>
          <w:marRight w:val="0"/>
          <w:marTop w:val="0"/>
          <w:marBottom w:val="101"/>
          <w:divBdr>
            <w:top w:val="none" w:sz="0" w:space="0" w:color="auto"/>
            <w:left w:val="none" w:sz="0" w:space="0" w:color="auto"/>
            <w:bottom w:val="none" w:sz="0" w:space="0" w:color="auto"/>
            <w:right w:val="none" w:sz="0" w:space="0" w:color="auto"/>
          </w:divBdr>
        </w:div>
        <w:div w:id="1023704824">
          <w:marLeft w:val="0"/>
          <w:marRight w:val="0"/>
          <w:marTop w:val="101"/>
          <w:marBottom w:val="101"/>
          <w:divBdr>
            <w:top w:val="none" w:sz="0" w:space="0" w:color="auto"/>
            <w:left w:val="none" w:sz="0" w:space="0" w:color="auto"/>
            <w:bottom w:val="none" w:sz="0" w:space="0" w:color="auto"/>
            <w:right w:val="none" w:sz="0" w:space="0" w:color="auto"/>
          </w:divBdr>
        </w:div>
        <w:div w:id="589236197">
          <w:marLeft w:val="0"/>
          <w:marRight w:val="0"/>
          <w:marTop w:val="0"/>
          <w:marBottom w:val="101"/>
          <w:divBdr>
            <w:top w:val="none" w:sz="0" w:space="0" w:color="auto"/>
            <w:left w:val="none" w:sz="0" w:space="0" w:color="auto"/>
            <w:bottom w:val="none" w:sz="0" w:space="0" w:color="auto"/>
            <w:right w:val="none" w:sz="0" w:space="0" w:color="auto"/>
          </w:divBdr>
        </w:div>
        <w:div w:id="1893149558">
          <w:marLeft w:val="0"/>
          <w:marRight w:val="0"/>
          <w:marTop w:val="0"/>
          <w:marBottom w:val="101"/>
          <w:divBdr>
            <w:top w:val="none" w:sz="0" w:space="0" w:color="auto"/>
            <w:left w:val="none" w:sz="0" w:space="0" w:color="auto"/>
            <w:bottom w:val="none" w:sz="0" w:space="0" w:color="auto"/>
            <w:right w:val="none" w:sz="0" w:space="0" w:color="auto"/>
          </w:divBdr>
        </w:div>
        <w:div w:id="1973124011">
          <w:marLeft w:val="0"/>
          <w:marRight w:val="0"/>
          <w:marTop w:val="0"/>
          <w:marBottom w:val="101"/>
          <w:divBdr>
            <w:top w:val="none" w:sz="0" w:space="0" w:color="auto"/>
            <w:left w:val="none" w:sz="0" w:space="0" w:color="auto"/>
            <w:bottom w:val="none" w:sz="0" w:space="0" w:color="auto"/>
            <w:right w:val="none" w:sz="0" w:space="0" w:color="auto"/>
          </w:divBdr>
        </w:div>
        <w:div w:id="1878735616">
          <w:marLeft w:val="0"/>
          <w:marRight w:val="0"/>
          <w:marTop w:val="0"/>
          <w:marBottom w:val="101"/>
          <w:divBdr>
            <w:top w:val="none" w:sz="0" w:space="0" w:color="auto"/>
            <w:left w:val="none" w:sz="0" w:space="0" w:color="auto"/>
            <w:bottom w:val="none" w:sz="0" w:space="0" w:color="auto"/>
            <w:right w:val="none" w:sz="0" w:space="0" w:color="auto"/>
          </w:divBdr>
        </w:div>
        <w:div w:id="110132230">
          <w:marLeft w:val="0"/>
          <w:marRight w:val="0"/>
          <w:marTop w:val="0"/>
          <w:marBottom w:val="101"/>
          <w:divBdr>
            <w:top w:val="none" w:sz="0" w:space="0" w:color="auto"/>
            <w:left w:val="none" w:sz="0" w:space="0" w:color="auto"/>
            <w:bottom w:val="none" w:sz="0" w:space="0" w:color="auto"/>
            <w:right w:val="none" w:sz="0" w:space="0" w:color="auto"/>
          </w:divBdr>
        </w:div>
        <w:div w:id="574127635">
          <w:marLeft w:val="0"/>
          <w:marRight w:val="0"/>
          <w:marTop w:val="0"/>
          <w:marBottom w:val="101"/>
          <w:divBdr>
            <w:top w:val="none" w:sz="0" w:space="0" w:color="auto"/>
            <w:left w:val="none" w:sz="0" w:space="0" w:color="auto"/>
            <w:bottom w:val="none" w:sz="0" w:space="0" w:color="auto"/>
            <w:right w:val="none" w:sz="0" w:space="0" w:color="auto"/>
          </w:divBdr>
        </w:div>
        <w:div w:id="1577204144">
          <w:marLeft w:val="0"/>
          <w:marRight w:val="0"/>
          <w:marTop w:val="0"/>
          <w:marBottom w:val="101"/>
          <w:divBdr>
            <w:top w:val="none" w:sz="0" w:space="0" w:color="auto"/>
            <w:left w:val="none" w:sz="0" w:space="0" w:color="auto"/>
            <w:bottom w:val="none" w:sz="0" w:space="0" w:color="auto"/>
            <w:right w:val="none" w:sz="0" w:space="0" w:color="auto"/>
          </w:divBdr>
        </w:div>
        <w:div w:id="531959393">
          <w:marLeft w:val="0"/>
          <w:marRight w:val="0"/>
          <w:marTop w:val="0"/>
          <w:marBottom w:val="101"/>
          <w:divBdr>
            <w:top w:val="none" w:sz="0" w:space="0" w:color="auto"/>
            <w:left w:val="none" w:sz="0" w:space="0" w:color="auto"/>
            <w:bottom w:val="none" w:sz="0" w:space="0" w:color="auto"/>
            <w:right w:val="none" w:sz="0" w:space="0" w:color="auto"/>
          </w:divBdr>
        </w:div>
        <w:div w:id="617954843">
          <w:marLeft w:val="0"/>
          <w:marRight w:val="0"/>
          <w:marTop w:val="0"/>
          <w:marBottom w:val="101"/>
          <w:divBdr>
            <w:top w:val="none" w:sz="0" w:space="0" w:color="auto"/>
            <w:left w:val="none" w:sz="0" w:space="0" w:color="auto"/>
            <w:bottom w:val="none" w:sz="0" w:space="0" w:color="auto"/>
            <w:right w:val="none" w:sz="0" w:space="0" w:color="auto"/>
          </w:divBdr>
        </w:div>
        <w:div w:id="929584873">
          <w:marLeft w:val="0"/>
          <w:marRight w:val="0"/>
          <w:marTop w:val="0"/>
          <w:marBottom w:val="101"/>
          <w:divBdr>
            <w:top w:val="none" w:sz="0" w:space="0" w:color="auto"/>
            <w:left w:val="none" w:sz="0" w:space="0" w:color="auto"/>
            <w:bottom w:val="none" w:sz="0" w:space="0" w:color="auto"/>
            <w:right w:val="none" w:sz="0" w:space="0" w:color="auto"/>
          </w:divBdr>
        </w:div>
        <w:div w:id="1529760114">
          <w:marLeft w:val="0"/>
          <w:marRight w:val="0"/>
          <w:marTop w:val="0"/>
          <w:marBottom w:val="101"/>
          <w:divBdr>
            <w:top w:val="none" w:sz="0" w:space="0" w:color="auto"/>
            <w:left w:val="none" w:sz="0" w:space="0" w:color="auto"/>
            <w:bottom w:val="none" w:sz="0" w:space="0" w:color="auto"/>
            <w:right w:val="none" w:sz="0" w:space="0" w:color="auto"/>
          </w:divBdr>
        </w:div>
        <w:div w:id="1002390628">
          <w:marLeft w:val="0"/>
          <w:marRight w:val="0"/>
          <w:marTop w:val="0"/>
          <w:marBottom w:val="101"/>
          <w:divBdr>
            <w:top w:val="none" w:sz="0" w:space="0" w:color="auto"/>
            <w:left w:val="none" w:sz="0" w:space="0" w:color="auto"/>
            <w:bottom w:val="none" w:sz="0" w:space="0" w:color="auto"/>
            <w:right w:val="none" w:sz="0" w:space="0" w:color="auto"/>
          </w:divBdr>
        </w:div>
        <w:div w:id="1023165249">
          <w:marLeft w:val="0"/>
          <w:marRight w:val="0"/>
          <w:marTop w:val="101"/>
          <w:marBottom w:val="101"/>
          <w:divBdr>
            <w:top w:val="none" w:sz="0" w:space="0" w:color="auto"/>
            <w:left w:val="none" w:sz="0" w:space="0" w:color="auto"/>
            <w:bottom w:val="none" w:sz="0" w:space="0" w:color="auto"/>
            <w:right w:val="none" w:sz="0" w:space="0" w:color="auto"/>
          </w:divBdr>
        </w:div>
        <w:div w:id="909853617">
          <w:marLeft w:val="0"/>
          <w:marRight w:val="0"/>
          <w:marTop w:val="0"/>
          <w:marBottom w:val="101"/>
          <w:divBdr>
            <w:top w:val="none" w:sz="0" w:space="0" w:color="auto"/>
            <w:left w:val="none" w:sz="0" w:space="0" w:color="auto"/>
            <w:bottom w:val="none" w:sz="0" w:space="0" w:color="auto"/>
            <w:right w:val="none" w:sz="0" w:space="0" w:color="auto"/>
          </w:divBdr>
        </w:div>
        <w:div w:id="2042170256">
          <w:marLeft w:val="0"/>
          <w:marRight w:val="0"/>
          <w:marTop w:val="0"/>
          <w:marBottom w:val="101"/>
          <w:divBdr>
            <w:top w:val="none" w:sz="0" w:space="0" w:color="auto"/>
            <w:left w:val="none" w:sz="0" w:space="0" w:color="auto"/>
            <w:bottom w:val="none" w:sz="0" w:space="0" w:color="auto"/>
            <w:right w:val="none" w:sz="0" w:space="0" w:color="auto"/>
          </w:divBdr>
        </w:div>
        <w:div w:id="572130681">
          <w:marLeft w:val="0"/>
          <w:marRight w:val="0"/>
          <w:marTop w:val="0"/>
          <w:marBottom w:val="101"/>
          <w:divBdr>
            <w:top w:val="none" w:sz="0" w:space="0" w:color="auto"/>
            <w:left w:val="none" w:sz="0" w:space="0" w:color="auto"/>
            <w:bottom w:val="none" w:sz="0" w:space="0" w:color="auto"/>
            <w:right w:val="none" w:sz="0" w:space="0" w:color="auto"/>
          </w:divBdr>
        </w:div>
        <w:div w:id="1789540963">
          <w:marLeft w:val="0"/>
          <w:marRight w:val="0"/>
          <w:marTop w:val="0"/>
          <w:marBottom w:val="101"/>
          <w:divBdr>
            <w:top w:val="none" w:sz="0" w:space="0" w:color="auto"/>
            <w:left w:val="none" w:sz="0" w:space="0" w:color="auto"/>
            <w:bottom w:val="none" w:sz="0" w:space="0" w:color="auto"/>
            <w:right w:val="none" w:sz="0" w:space="0" w:color="auto"/>
          </w:divBdr>
        </w:div>
        <w:div w:id="94181801">
          <w:marLeft w:val="0"/>
          <w:marRight w:val="0"/>
          <w:marTop w:val="0"/>
          <w:marBottom w:val="101"/>
          <w:divBdr>
            <w:top w:val="none" w:sz="0" w:space="0" w:color="auto"/>
            <w:left w:val="none" w:sz="0" w:space="0" w:color="auto"/>
            <w:bottom w:val="none" w:sz="0" w:space="0" w:color="auto"/>
            <w:right w:val="none" w:sz="0" w:space="0" w:color="auto"/>
          </w:divBdr>
        </w:div>
        <w:div w:id="116030397">
          <w:marLeft w:val="0"/>
          <w:marRight w:val="0"/>
          <w:marTop w:val="0"/>
          <w:marBottom w:val="101"/>
          <w:divBdr>
            <w:top w:val="none" w:sz="0" w:space="0" w:color="auto"/>
            <w:left w:val="none" w:sz="0" w:space="0" w:color="auto"/>
            <w:bottom w:val="none" w:sz="0" w:space="0" w:color="auto"/>
            <w:right w:val="none" w:sz="0" w:space="0" w:color="auto"/>
          </w:divBdr>
        </w:div>
        <w:div w:id="587009021">
          <w:marLeft w:val="0"/>
          <w:marRight w:val="0"/>
          <w:marTop w:val="0"/>
          <w:marBottom w:val="101"/>
          <w:divBdr>
            <w:top w:val="none" w:sz="0" w:space="0" w:color="auto"/>
            <w:left w:val="none" w:sz="0" w:space="0" w:color="auto"/>
            <w:bottom w:val="none" w:sz="0" w:space="0" w:color="auto"/>
            <w:right w:val="none" w:sz="0" w:space="0" w:color="auto"/>
          </w:divBdr>
        </w:div>
        <w:div w:id="1836066329">
          <w:marLeft w:val="0"/>
          <w:marRight w:val="0"/>
          <w:marTop w:val="0"/>
          <w:marBottom w:val="101"/>
          <w:divBdr>
            <w:top w:val="none" w:sz="0" w:space="0" w:color="auto"/>
            <w:left w:val="none" w:sz="0" w:space="0" w:color="auto"/>
            <w:bottom w:val="none" w:sz="0" w:space="0" w:color="auto"/>
            <w:right w:val="none" w:sz="0" w:space="0" w:color="auto"/>
          </w:divBdr>
        </w:div>
        <w:div w:id="329718230">
          <w:marLeft w:val="0"/>
          <w:marRight w:val="0"/>
          <w:marTop w:val="0"/>
          <w:marBottom w:val="101"/>
          <w:divBdr>
            <w:top w:val="none" w:sz="0" w:space="0" w:color="auto"/>
            <w:left w:val="none" w:sz="0" w:space="0" w:color="auto"/>
            <w:bottom w:val="none" w:sz="0" w:space="0" w:color="auto"/>
            <w:right w:val="none" w:sz="0" w:space="0" w:color="auto"/>
          </w:divBdr>
        </w:div>
      </w:divsChild>
    </w:div>
    <w:div w:id="1190492350">
      <w:bodyDiv w:val="1"/>
      <w:marLeft w:val="0"/>
      <w:marRight w:val="0"/>
      <w:marTop w:val="0"/>
      <w:marBottom w:val="0"/>
      <w:divBdr>
        <w:top w:val="none" w:sz="0" w:space="0" w:color="auto"/>
        <w:left w:val="none" w:sz="0" w:space="0" w:color="auto"/>
        <w:bottom w:val="none" w:sz="0" w:space="0" w:color="auto"/>
        <w:right w:val="none" w:sz="0" w:space="0" w:color="auto"/>
      </w:divBdr>
    </w:div>
    <w:div w:id="1849640269">
      <w:bodyDiv w:val="1"/>
      <w:marLeft w:val="0"/>
      <w:marRight w:val="0"/>
      <w:marTop w:val="0"/>
      <w:marBottom w:val="0"/>
      <w:divBdr>
        <w:top w:val="none" w:sz="0" w:space="0" w:color="auto"/>
        <w:left w:val="none" w:sz="0" w:space="0" w:color="auto"/>
        <w:bottom w:val="none" w:sz="0" w:space="0" w:color="auto"/>
        <w:right w:val="none" w:sz="0" w:space="0" w:color="auto"/>
      </w:divBdr>
      <w:divsChild>
        <w:div w:id="1424690276">
          <w:marLeft w:val="0"/>
          <w:marRight w:val="0"/>
          <w:marTop w:val="101"/>
          <w:marBottom w:val="101"/>
          <w:divBdr>
            <w:top w:val="none" w:sz="0" w:space="0" w:color="auto"/>
            <w:left w:val="none" w:sz="0" w:space="0" w:color="auto"/>
            <w:bottom w:val="none" w:sz="0" w:space="0" w:color="auto"/>
            <w:right w:val="none" w:sz="0" w:space="0" w:color="auto"/>
          </w:divBdr>
        </w:div>
        <w:div w:id="1421221717">
          <w:marLeft w:val="0"/>
          <w:marRight w:val="0"/>
          <w:marTop w:val="0"/>
          <w:marBottom w:val="101"/>
          <w:divBdr>
            <w:top w:val="none" w:sz="0" w:space="0" w:color="auto"/>
            <w:left w:val="none" w:sz="0" w:space="0" w:color="auto"/>
            <w:bottom w:val="none" w:sz="0" w:space="0" w:color="auto"/>
            <w:right w:val="none" w:sz="0" w:space="0" w:color="auto"/>
          </w:divBdr>
        </w:div>
        <w:div w:id="313606144">
          <w:marLeft w:val="0"/>
          <w:marRight w:val="0"/>
          <w:marTop w:val="101"/>
          <w:marBottom w:val="101"/>
          <w:divBdr>
            <w:top w:val="none" w:sz="0" w:space="0" w:color="auto"/>
            <w:left w:val="none" w:sz="0" w:space="0" w:color="auto"/>
            <w:bottom w:val="none" w:sz="0" w:space="0" w:color="auto"/>
            <w:right w:val="none" w:sz="0" w:space="0" w:color="auto"/>
          </w:divBdr>
        </w:div>
        <w:div w:id="1243103611">
          <w:marLeft w:val="0"/>
          <w:marRight w:val="0"/>
          <w:marTop w:val="0"/>
          <w:marBottom w:val="101"/>
          <w:divBdr>
            <w:top w:val="none" w:sz="0" w:space="0" w:color="auto"/>
            <w:left w:val="none" w:sz="0" w:space="0" w:color="auto"/>
            <w:bottom w:val="none" w:sz="0" w:space="0" w:color="auto"/>
            <w:right w:val="none" w:sz="0" w:space="0" w:color="auto"/>
          </w:divBdr>
        </w:div>
        <w:div w:id="451629842">
          <w:marLeft w:val="0"/>
          <w:marRight w:val="0"/>
          <w:marTop w:val="0"/>
          <w:marBottom w:val="101"/>
          <w:divBdr>
            <w:top w:val="none" w:sz="0" w:space="0" w:color="auto"/>
            <w:left w:val="none" w:sz="0" w:space="0" w:color="auto"/>
            <w:bottom w:val="none" w:sz="0" w:space="0" w:color="auto"/>
            <w:right w:val="none" w:sz="0" w:space="0" w:color="auto"/>
          </w:divBdr>
        </w:div>
        <w:div w:id="27145609">
          <w:marLeft w:val="0"/>
          <w:marRight w:val="0"/>
          <w:marTop w:val="0"/>
          <w:marBottom w:val="101"/>
          <w:divBdr>
            <w:top w:val="none" w:sz="0" w:space="0" w:color="auto"/>
            <w:left w:val="none" w:sz="0" w:space="0" w:color="auto"/>
            <w:bottom w:val="none" w:sz="0" w:space="0" w:color="auto"/>
            <w:right w:val="none" w:sz="0" w:space="0" w:color="auto"/>
          </w:divBdr>
        </w:div>
        <w:div w:id="1478258696">
          <w:marLeft w:val="0"/>
          <w:marRight w:val="0"/>
          <w:marTop w:val="0"/>
          <w:marBottom w:val="101"/>
          <w:divBdr>
            <w:top w:val="none" w:sz="0" w:space="0" w:color="auto"/>
            <w:left w:val="none" w:sz="0" w:space="0" w:color="auto"/>
            <w:bottom w:val="none" w:sz="0" w:space="0" w:color="auto"/>
            <w:right w:val="none" w:sz="0" w:space="0" w:color="auto"/>
          </w:divBdr>
        </w:div>
        <w:div w:id="2123186610">
          <w:marLeft w:val="0"/>
          <w:marRight w:val="0"/>
          <w:marTop w:val="0"/>
          <w:marBottom w:val="101"/>
          <w:divBdr>
            <w:top w:val="none" w:sz="0" w:space="0" w:color="auto"/>
            <w:left w:val="none" w:sz="0" w:space="0" w:color="auto"/>
            <w:bottom w:val="none" w:sz="0" w:space="0" w:color="auto"/>
            <w:right w:val="none" w:sz="0" w:space="0" w:color="auto"/>
          </w:divBdr>
        </w:div>
        <w:div w:id="1871845023">
          <w:marLeft w:val="0"/>
          <w:marRight w:val="0"/>
          <w:marTop w:val="0"/>
          <w:marBottom w:val="101"/>
          <w:divBdr>
            <w:top w:val="none" w:sz="0" w:space="0" w:color="auto"/>
            <w:left w:val="none" w:sz="0" w:space="0" w:color="auto"/>
            <w:bottom w:val="none" w:sz="0" w:space="0" w:color="auto"/>
            <w:right w:val="none" w:sz="0" w:space="0" w:color="auto"/>
          </w:divBdr>
        </w:div>
        <w:div w:id="1409576773">
          <w:marLeft w:val="0"/>
          <w:marRight w:val="0"/>
          <w:marTop w:val="0"/>
          <w:marBottom w:val="101"/>
          <w:divBdr>
            <w:top w:val="none" w:sz="0" w:space="0" w:color="auto"/>
            <w:left w:val="none" w:sz="0" w:space="0" w:color="auto"/>
            <w:bottom w:val="none" w:sz="0" w:space="0" w:color="auto"/>
            <w:right w:val="none" w:sz="0" w:space="0" w:color="auto"/>
          </w:divBdr>
        </w:div>
        <w:div w:id="1653218094">
          <w:marLeft w:val="0"/>
          <w:marRight w:val="0"/>
          <w:marTop w:val="0"/>
          <w:marBottom w:val="101"/>
          <w:divBdr>
            <w:top w:val="none" w:sz="0" w:space="0" w:color="auto"/>
            <w:left w:val="none" w:sz="0" w:space="0" w:color="auto"/>
            <w:bottom w:val="none" w:sz="0" w:space="0" w:color="auto"/>
            <w:right w:val="none" w:sz="0" w:space="0" w:color="auto"/>
          </w:divBdr>
        </w:div>
        <w:div w:id="1094284733">
          <w:marLeft w:val="0"/>
          <w:marRight w:val="0"/>
          <w:marTop w:val="0"/>
          <w:marBottom w:val="101"/>
          <w:divBdr>
            <w:top w:val="none" w:sz="0" w:space="0" w:color="auto"/>
            <w:left w:val="none" w:sz="0" w:space="0" w:color="auto"/>
            <w:bottom w:val="none" w:sz="0" w:space="0" w:color="auto"/>
            <w:right w:val="none" w:sz="0" w:space="0" w:color="auto"/>
          </w:divBdr>
        </w:div>
        <w:div w:id="27804570">
          <w:marLeft w:val="0"/>
          <w:marRight w:val="0"/>
          <w:marTop w:val="0"/>
          <w:marBottom w:val="101"/>
          <w:divBdr>
            <w:top w:val="none" w:sz="0" w:space="0" w:color="auto"/>
            <w:left w:val="none" w:sz="0" w:space="0" w:color="auto"/>
            <w:bottom w:val="none" w:sz="0" w:space="0" w:color="auto"/>
            <w:right w:val="none" w:sz="0" w:space="0" w:color="auto"/>
          </w:divBdr>
        </w:div>
        <w:div w:id="2111656789">
          <w:marLeft w:val="0"/>
          <w:marRight w:val="0"/>
          <w:marTop w:val="0"/>
          <w:marBottom w:val="101"/>
          <w:divBdr>
            <w:top w:val="none" w:sz="0" w:space="0" w:color="auto"/>
            <w:left w:val="none" w:sz="0" w:space="0" w:color="auto"/>
            <w:bottom w:val="none" w:sz="0" w:space="0" w:color="auto"/>
            <w:right w:val="none" w:sz="0" w:space="0" w:color="auto"/>
          </w:divBdr>
        </w:div>
        <w:div w:id="46728099">
          <w:marLeft w:val="0"/>
          <w:marRight w:val="0"/>
          <w:marTop w:val="0"/>
          <w:marBottom w:val="101"/>
          <w:divBdr>
            <w:top w:val="none" w:sz="0" w:space="0" w:color="auto"/>
            <w:left w:val="none" w:sz="0" w:space="0" w:color="auto"/>
            <w:bottom w:val="none" w:sz="0" w:space="0" w:color="auto"/>
            <w:right w:val="none" w:sz="0" w:space="0" w:color="auto"/>
          </w:divBdr>
        </w:div>
        <w:div w:id="109589608">
          <w:marLeft w:val="0"/>
          <w:marRight w:val="0"/>
          <w:marTop w:val="101"/>
          <w:marBottom w:val="101"/>
          <w:divBdr>
            <w:top w:val="none" w:sz="0" w:space="0" w:color="auto"/>
            <w:left w:val="none" w:sz="0" w:space="0" w:color="auto"/>
            <w:bottom w:val="none" w:sz="0" w:space="0" w:color="auto"/>
            <w:right w:val="none" w:sz="0" w:space="0" w:color="auto"/>
          </w:divBdr>
        </w:div>
        <w:div w:id="354238454">
          <w:marLeft w:val="0"/>
          <w:marRight w:val="0"/>
          <w:marTop w:val="0"/>
          <w:marBottom w:val="101"/>
          <w:divBdr>
            <w:top w:val="none" w:sz="0" w:space="0" w:color="auto"/>
            <w:left w:val="none" w:sz="0" w:space="0" w:color="auto"/>
            <w:bottom w:val="none" w:sz="0" w:space="0" w:color="auto"/>
            <w:right w:val="none" w:sz="0" w:space="0" w:color="auto"/>
          </w:divBdr>
        </w:div>
        <w:div w:id="1271738074">
          <w:marLeft w:val="0"/>
          <w:marRight w:val="0"/>
          <w:marTop w:val="0"/>
          <w:marBottom w:val="101"/>
          <w:divBdr>
            <w:top w:val="none" w:sz="0" w:space="0" w:color="auto"/>
            <w:left w:val="none" w:sz="0" w:space="0" w:color="auto"/>
            <w:bottom w:val="none" w:sz="0" w:space="0" w:color="auto"/>
            <w:right w:val="none" w:sz="0" w:space="0" w:color="auto"/>
          </w:divBdr>
        </w:div>
        <w:div w:id="1999264948">
          <w:marLeft w:val="0"/>
          <w:marRight w:val="0"/>
          <w:marTop w:val="0"/>
          <w:marBottom w:val="101"/>
          <w:divBdr>
            <w:top w:val="none" w:sz="0" w:space="0" w:color="auto"/>
            <w:left w:val="none" w:sz="0" w:space="0" w:color="auto"/>
            <w:bottom w:val="none" w:sz="0" w:space="0" w:color="auto"/>
            <w:right w:val="none" w:sz="0" w:space="0" w:color="auto"/>
          </w:divBdr>
        </w:div>
        <w:div w:id="142896183">
          <w:marLeft w:val="0"/>
          <w:marRight w:val="0"/>
          <w:marTop w:val="0"/>
          <w:marBottom w:val="101"/>
          <w:divBdr>
            <w:top w:val="none" w:sz="0" w:space="0" w:color="auto"/>
            <w:left w:val="none" w:sz="0" w:space="0" w:color="auto"/>
            <w:bottom w:val="none" w:sz="0" w:space="0" w:color="auto"/>
            <w:right w:val="none" w:sz="0" w:space="0" w:color="auto"/>
          </w:divBdr>
        </w:div>
        <w:div w:id="344090540">
          <w:marLeft w:val="0"/>
          <w:marRight w:val="0"/>
          <w:marTop w:val="0"/>
          <w:marBottom w:val="101"/>
          <w:divBdr>
            <w:top w:val="none" w:sz="0" w:space="0" w:color="auto"/>
            <w:left w:val="none" w:sz="0" w:space="0" w:color="auto"/>
            <w:bottom w:val="none" w:sz="0" w:space="0" w:color="auto"/>
            <w:right w:val="none" w:sz="0" w:space="0" w:color="auto"/>
          </w:divBdr>
        </w:div>
        <w:div w:id="1634017429">
          <w:marLeft w:val="0"/>
          <w:marRight w:val="0"/>
          <w:marTop w:val="0"/>
          <w:marBottom w:val="101"/>
          <w:divBdr>
            <w:top w:val="none" w:sz="0" w:space="0" w:color="auto"/>
            <w:left w:val="none" w:sz="0" w:space="0" w:color="auto"/>
            <w:bottom w:val="none" w:sz="0" w:space="0" w:color="auto"/>
            <w:right w:val="none" w:sz="0" w:space="0" w:color="auto"/>
          </w:divBdr>
        </w:div>
        <w:div w:id="2061319576">
          <w:marLeft w:val="0"/>
          <w:marRight w:val="0"/>
          <w:marTop w:val="0"/>
          <w:marBottom w:val="101"/>
          <w:divBdr>
            <w:top w:val="none" w:sz="0" w:space="0" w:color="auto"/>
            <w:left w:val="none" w:sz="0" w:space="0" w:color="auto"/>
            <w:bottom w:val="none" w:sz="0" w:space="0" w:color="auto"/>
            <w:right w:val="none" w:sz="0" w:space="0" w:color="auto"/>
          </w:divBdr>
        </w:div>
        <w:div w:id="432553466">
          <w:marLeft w:val="0"/>
          <w:marRight w:val="0"/>
          <w:marTop w:val="0"/>
          <w:marBottom w:val="101"/>
          <w:divBdr>
            <w:top w:val="none" w:sz="0" w:space="0" w:color="auto"/>
            <w:left w:val="none" w:sz="0" w:space="0" w:color="auto"/>
            <w:bottom w:val="none" w:sz="0" w:space="0" w:color="auto"/>
            <w:right w:val="none" w:sz="0" w:space="0" w:color="auto"/>
          </w:divBdr>
        </w:div>
        <w:div w:id="12021353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1406</Words>
  <Characters>7736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1</cp:revision>
  <dcterms:created xsi:type="dcterms:W3CDTF">2018-10-31T14:19:00Z</dcterms:created>
  <dcterms:modified xsi:type="dcterms:W3CDTF">2018-10-31T14:38:00Z</dcterms:modified>
</cp:coreProperties>
</file>