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5A2" w:rsidRPr="00841D9A" w:rsidRDefault="009515A2" w:rsidP="009515A2">
      <w:pPr>
        <w:jc w:val="center"/>
        <w:rPr>
          <w:rFonts w:ascii="Verdana" w:eastAsia="Verdana" w:hAnsi="Verdana" w:cs="Verdana"/>
          <w:b/>
          <w:color w:val="0000FF"/>
          <w:sz w:val="24"/>
          <w:szCs w:val="24"/>
        </w:rPr>
      </w:pPr>
      <w:r w:rsidRPr="009515A2">
        <w:rPr>
          <w:rFonts w:ascii="Verdana" w:eastAsia="Verdana" w:hAnsi="Verdana" w:cs="Verdana"/>
          <w:b/>
          <w:color w:val="0000FF"/>
          <w:sz w:val="24"/>
          <w:szCs w:val="24"/>
        </w:rPr>
        <w:t>ACUERDO General 35/2022 del Pleno del Consejo de la Judicatura Federal, relativo a la conclusión de funciones de los Tribunales Unitarios Primero y Segundo del Décimo Segundo Circuito, con residencia en Mazatlán, Sinaloa, de la oficina de correspondencia común que les presta servicio; y del Tercer Tribunal Unitario del mismo Circuito, con residencia en Culiacán.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 de noviembre</w:t>
      </w:r>
      <w:r w:rsidRPr="00841D9A">
        <w:rPr>
          <w:rFonts w:ascii="Verdana" w:eastAsia="Verdana" w:hAnsi="Verdana" w:cs="Verdana"/>
          <w:b/>
          <w:color w:val="0000FF"/>
          <w:sz w:val="24"/>
          <w:szCs w:val="24"/>
        </w:rPr>
        <w:t xml:space="preserve"> de 2022)</w:t>
      </w:r>
      <w:bookmarkEnd w:id="0"/>
    </w:p>
    <w:p w:rsidR="009515A2" w:rsidRDefault="009515A2" w:rsidP="009515A2">
      <w:pPr>
        <w:jc w:val="both"/>
        <w:rPr>
          <w:rFonts w:ascii="Arial" w:hAnsi="Arial" w:cs="Arial"/>
          <w:b/>
          <w:color w:val="2F2F2F"/>
          <w:sz w:val="18"/>
          <w:szCs w:val="18"/>
          <w:shd w:val="clear" w:color="auto" w:fill="FFFFFF"/>
        </w:rPr>
      </w:pPr>
      <w:r w:rsidRPr="00CA2F80">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9515A2" w:rsidRPr="009515A2" w:rsidRDefault="009515A2" w:rsidP="009515A2">
      <w:pPr>
        <w:shd w:val="clear" w:color="auto" w:fill="FFFFFF"/>
        <w:spacing w:after="101" w:line="240" w:lineRule="auto"/>
        <w:ind w:firstLine="288"/>
        <w:jc w:val="both"/>
        <w:rPr>
          <w:rFonts w:ascii="Arial" w:eastAsia="Times New Roman" w:hAnsi="Arial" w:cs="Arial"/>
          <w:color w:val="2F2F2F"/>
          <w:sz w:val="16"/>
          <w:szCs w:val="16"/>
          <w:lang w:eastAsia="es-MX"/>
        </w:rPr>
      </w:pPr>
      <w:r w:rsidRPr="009515A2">
        <w:rPr>
          <w:rFonts w:ascii="Arial" w:eastAsia="Times New Roman" w:hAnsi="Arial" w:cs="Arial"/>
          <w:color w:val="2F2F2F"/>
          <w:sz w:val="16"/>
          <w:szCs w:val="16"/>
          <w:lang w:eastAsia="es-MX"/>
        </w:rPr>
        <w:t>ACUERDO GENERAL 35/2022, DEL PLENO DEL CONSEJO DE LA JUDICATURA FEDERAL, RELATIVO A LA CONCLUSIÓN DE FUNCIONES DE LOS TRIBUNALES UNITARIOS PRIMERO Y SEGUNDO DEL DÉCIMO SEGUNDO CIRCUITO, CON RESIDENCIA EN MAZATLÁN, SINALOA, DE LA OFICINA DE CORRESPONDENCIA COMÚN QUE LES PRESTA SERVICIO; Y DEL TERCER TRIBUNAL UNITARIO DEL MISMO CIRCUITO, CON RESIDENCIA EN CULIACÁN.</w:t>
      </w:r>
    </w:p>
    <w:p w:rsidR="009515A2" w:rsidRPr="009515A2" w:rsidRDefault="009515A2" w:rsidP="009515A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515A2">
        <w:rPr>
          <w:rFonts w:ascii="Times" w:eastAsia="Times New Roman" w:hAnsi="Times" w:cs="Times New Roman"/>
          <w:b/>
          <w:bCs/>
          <w:color w:val="2F2F2F"/>
          <w:sz w:val="18"/>
          <w:szCs w:val="18"/>
          <w:lang w:eastAsia="es-MX"/>
        </w:rPr>
        <w:t>CONSIDERANDO</w:t>
      </w:r>
    </w:p>
    <w:p w:rsidR="009515A2" w:rsidRPr="009515A2" w:rsidRDefault="009515A2" w:rsidP="009515A2">
      <w:pPr>
        <w:shd w:val="clear" w:color="auto" w:fill="FFFFFF"/>
        <w:spacing w:after="101" w:line="240" w:lineRule="auto"/>
        <w:ind w:firstLine="288"/>
        <w:jc w:val="both"/>
        <w:rPr>
          <w:rFonts w:ascii="Arial" w:eastAsia="Times New Roman" w:hAnsi="Arial" w:cs="Arial"/>
          <w:color w:val="2F2F2F"/>
          <w:sz w:val="18"/>
          <w:szCs w:val="18"/>
          <w:lang w:eastAsia="es-MX"/>
        </w:rPr>
      </w:pPr>
      <w:r w:rsidRPr="009515A2">
        <w:rPr>
          <w:rFonts w:ascii="Arial" w:eastAsia="Times New Roman" w:hAnsi="Arial" w:cs="Arial"/>
          <w:b/>
          <w:bCs/>
          <w:color w:val="2F2F2F"/>
          <w:sz w:val="18"/>
          <w:szCs w:val="18"/>
          <w:lang w:eastAsia="es-MX"/>
        </w:rPr>
        <w:t>PRIMERO.</w:t>
      </w:r>
      <w:r w:rsidRPr="009515A2">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9515A2" w:rsidRPr="009515A2" w:rsidRDefault="009515A2" w:rsidP="009515A2">
      <w:pPr>
        <w:shd w:val="clear" w:color="auto" w:fill="FFFFFF"/>
        <w:spacing w:after="101" w:line="240" w:lineRule="auto"/>
        <w:ind w:firstLine="288"/>
        <w:jc w:val="both"/>
        <w:rPr>
          <w:rFonts w:ascii="Arial" w:eastAsia="Times New Roman" w:hAnsi="Arial" w:cs="Arial"/>
          <w:color w:val="2F2F2F"/>
          <w:sz w:val="18"/>
          <w:szCs w:val="18"/>
          <w:lang w:eastAsia="es-MX"/>
        </w:rPr>
      </w:pPr>
      <w:r w:rsidRPr="009515A2">
        <w:rPr>
          <w:rFonts w:ascii="Arial" w:eastAsia="Times New Roman" w:hAnsi="Arial" w:cs="Arial"/>
          <w:b/>
          <w:bCs/>
          <w:color w:val="2F2F2F"/>
          <w:sz w:val="18"/>
          <w:szCs w:val="18"/>
          <w:lang w:eastAsia="es-MX"/>
        </w:rPr>
        <w:t>SEGUNDO.</w:t>
      </w:r>
      <w:r w:rsidRPr="009515A2">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límites territoriales de los circuitos en los que se divida el territorio de la República Mexicana y, en su caso, especialización por materia de los Tribunales Colegiados de Apelación en cada uno de los circuitos;</w:t>
      </w:r>
    </w:p>
    <w:p w:rsidR="009515A2" w:rsidRPr="009515A2" w:rsidRDefault="009515A2" w:rsidP="009515A2">
      <w:pPr>
        <w:shd w:val="clear" w:color="auto" w:fill="FFFFFF"/>
        <w:spacing w:after="101" w:line="240" w:lineRule="auto"/>
        <w:ind w:firstLine="288"/>
        <w:jc w:val="both"/>
        <w:rPr>
          <w:rFonts w:ascii="Arial" w:eastAsia="Times New Roman" w:hAnsi="Arial" w:cs="Arial"/>
          <w:color w:val="2F2F2F"/>
          <w:sz w:val="18"/>
          <w:szCs w:val="18"/>
          <w:lang w:eastAsia="es-MX"/>
        </w:rPr>
      </w:pPr>
      <w:r w:rsidRPr="009515A2">
        <w:rPr>
          <w:rFonts w:ascii="Arial" w:eastAsia="Times New Roman" w:hAnsi="Arial" w:cs="Arial"/>
          <w:b/>
          <w:bCs/>
          <w:color w:val="2F2F2F"/>
          <w:sz w:val="18"/>
          <w:szCs w:val="18"/>
          <w:lang w:eastAsia="es-MX"/>
        </w:rPr>
        <w:t>TERCERO.</w:t>
      </w:r>
      <w:r w:rsidRPr="009515A2">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9515A2" w:rsidRPr="009515A2" w:rsidRDefault="009515A2" w:rsidP="009515A2">
      <w:pPr>
        <w:shd w:val="clear" w:color="auto" w:fill="FFFFFF"/>
        <w:spacing w:after="101" w:line="240" w:lineRule="auto"/>
        <w:ind w:firstLine="288"/>
        <w:jc w:val="both"/>
        <w:rPr>
          <w:rFonts w:ascii="Arial" w:eastAsia="Times New Roman" w:hAnsi="Arial" w:cs="Arial"/>
          <w:color w:val="2F2F2F"/>
          <w:sz w:val="18"/>
          <w:szCs w:val="18"/>
          <w:lang w:eastAsia="es-MX"/>
        </w:rPr>
      </w:pPr>
      <w:r w:rsidRPr="009515A2">
        <w:rPr>
          <w:rFonts w:ascii="Arial" w:eastAsia="Times New Roman" w:hAnsi="Arial" w:cs="Arial"/>
          <w:b/>
          <w:bCs/>
          <w:color w:val="2F2F2F"/>
          <w:sz w:val="18"/>
          <w:szCs w:val="18"/>
          <w:lang w:eastAsia="es-MX"/>
        </w:rPr>
        <w:t>CUARTO.</w:t>
      </w:r>
      <w:r w:rsidRPr="009515A2">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9515A2" w:rsidRPr="009515A2" w:rsidRDefault="009515A2" w:rsidP="009515A2">
      <w:pPr>
        <w:shd w:val="clear" w:color="auto" w:fill="FFFFFF"/>
        <w:spacing w:after="101" w:line="240" w:lineRule="auto"/>
        <w:ind w:firstLine="288"/>
        <w:jc w:val="both"/>
        <w:rPr>
          <w:rFonts w:ascii="Arial" w:eastAsia="Times New Roman" w:hAnsi="Arial" w:cs="Arial"/>
          <w:color w:val="2F2F2F"/>
          <w:sz w:val="18"/>
          <w:szCs w:val="18"/>
          <w:lang w:eastAsia="es-MX"/>
        </w:rPr>
      </w:pPr>
      <w:r w:rsidRPr="009515A2">
        <w:rPr>
          <w:rFonts w:ascii="Arial" w:eastAsia="Times New Roman" w:hAnsi="Arial" w:cs="Arial"/>
          <w:b/>
          <w:bCs/>
          <w:color w:val="2F2F2F"/>
          <w:sz w:val="18"/>
          <w:szCs w:val="18"/>
          <w:lang w:eastAsia="es-MX"/>
        </w:rPr>
        <w:t>QUINTO.</w:t>
      </w:r>
      <w:r w:rsidRPr="009515A2">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 y</w:t>
      </w:r>
    </w:p>
    <w:p w:rsidR="009515A2" w:rsidRPr="009515A2" w:rsidRDefault="009515A2" w:rsidP="009515A2">
      <w:pPr>
        <w:shd w:val="clear" w:color="auto" w:fill="FFFFFF"/>
        <w:spacing w:after="101" w:line="240" w:lineRule="auto"/>
        <w:ind w:firstLine="288"/>
        <w:jc w:val="both"/>
        <w:rPr>
          <w:rFonts w:ascii="Arial" w:eastAsia="Times New Roman" w:hAnsi="Arial" w:cs="Arial"/>
          <w:color w:val="2F2F2F"/>
          <w:sz w:val="18"/>
          <w:szCs w:val="18"/>
          <w:lang w:eastAsia="es-MX"/>
        </w:rPr>
      </w:pPr>
      <w:r w:rsidRPr="009515A2">
        <w:rPr>
          <w:rFonts w:ascii="Arial" w:eastAsia="Times New Roman" w:hAnsi="Arial" w:cs="Arial"/>
          <w:b/>
          <w:bCs/>
          <w:color w:val="2F2F2F"/>
          <w:sz w:val="18"/>
          <w:szCs w:val="18"/>
          <w:lang w:eastAsia="es-MX"/>
        </w:rPr>
        <w:t>SEXTO.</w:t>
      </w:r>
      <w:r w:rsidRPr="009515A2">
        <w:rPr>
          <w:rFonts w:ascii="Arial" w:eastAsia="Times New Roman" w:hAnsi="Arial" w:cs="Arial"/>
          <w:color w:val="2F2F2F"/>
          <w:sz w:val="18"/>
          <w:szCs w:val="18"/>
          <w:lang w:eastAsia="es-MX"/>
        </w:rPr>
        <w:t> El Pleno del Consejo de la Judicatura Federal, en sesión de 26 de octubre de 2022, aprobó el Dictamen relativo a la conclusión de funciones de los Tribunales Unitarios Primero y Segundo del Décimo Segundo Circuito, con residencia en Mazatlán, Sinaloa, de la Oficina de Correspondencia Común que les presta servicio; y del Tercer Tribunal Unitario del mismo circuito, con residencia en Culiacán.</w:t>
      </w:r>
    </w:p>
    <w:p w:rsidR="009515A2" w:rsidRPr="009515A2" w:rsidRDefault="009515A2" w:rsidP="009515A2">
      <w:pPr>
        <w:shd w:val="clear" w:color="auto" w:fill="FFFFFF"/>
        <w:spacing w:after="101" w:line="240" w:lineRule="auto"/>
        <w:ind w:firstLine="288"/>
        <w:jc w:val="both"/>
        <w:rPr>
          <w:rFonts w:ascii="Arial" w:eastAsia="Times New Roman" w:hAnsi="Arial" w:cs="Arial"/>
          <w:color w:val="2F2F2F"/>
          <w:sz w:val="18"/>
          <w:szCs w:val="18"/>
          <w:lang w:eastAsia="es-MX"/>
        </w:rPr>
      </w:pPr>
      <w:r w:rsidRPr="009515A2">
        <w:rPr>
          <w:rFonts w:ascii="Arial" w:eastAsia="Times New Roman" w:hAnsi="Arial" w:cs="Arial"/>
          <w:color w:val="2F2F2F"/>
          <w:sz w:val="18"/>
          <w:szCs w:val="18"/>
          <w:lang w:eastAsia="es-MX"/>
        </w:rPr>
        <w:t>Por lo anterior, se expide el siguiente</w:t>
      </w:r>
    </w:p>
    <w:p w:rsidR="009515A2" w:rsidRPr="009515A2" w:rsidRDefault="009515A2" w:rsidP="009515A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515A2">
        <w:rPr>
          <w:rFonts w:ascii="Times" w:eastAsia="Times New Roman" w:hAnsi="Times" w:cs="Times New Roman"/>
          <w:b/>
          <w:bCs/>
          <w:color w:val="2F2F2F"/>
          <w:sz w:val="18"/>
          <w:szCs w:val="18"/>
          <w:lang w:eastAsia="es-MX"/>
        </w:rPr>
        <w:t>ACUERDO</w:t>
      </w:r>
    </w:p>
    <w:p w:rsidR="009515A2" w:rsidRPr="009515A2" w:rsidRDefault="009515A2" w:rsidP="009515A2">
      <w:pPr>
        <w:shd w:val="clear" w:color="auto" w:fill="FFFFFF"/>
        <w:spacing w:after="101" w:line="240" w:lineRule="auto"/>
        <w:ind w:firstLine="288"/>
        <w:jc w:val="both"/>
        <w:rPr>
          <w:rFonts w:ascii="Arial" w:eastAsia="Times New Roman" w:hAnsi="Arial" w:cs="Arial"/>
          <w:color w:val="2F2F2F"/>
          <w:sz w:val="18"/>
          <w:szCs w:val="18"/>
          <w:lang w:eastAsia="es-MX"/>
        </w:rPr>
      </w:pPr>
      <w:r w:rsidRPr="009515A2">
        <w:rPr>
          <w:rFonts w:ascii="Arial" w:eastAsia="Times New Roman" w:hAnsi="Arial" w:cs="Arial"/>
          <w:b/>
          <w:bCs/>
          <w:color w:val="2F2F2F"/>
          <w:sz w:val="18"/>
          <w:szCs w:val="18"/>
          <w:lang w:eastAsia="es-MX"/>
        </w:rPr>
        <w:t>Artículo 1.</w:t>
      </w:r>
      <w:r w:rsidRPr="009515A2">
        <w:rPr>
          <w:rFonts w:ascii="Arial" w:eastAsia="Times New Roman" w:hAnsi="Arial" w:cs="Arial"/>
          <w:color w:val="2F2F2F"/>
          <w:sz w:val="18"/>
          <w:szCs w:val="18"/>
          <w:lang w:eastAsia="es-MX"/>
        </w:rPr>
        <w:t> Concluyen funciones los Tribunales Unitarios Primero y Segundo del Décimo Segundo Circuito, con residencia en Mazatlán, Sinaloa, así como el Tercer Tribunal Unitario del mismo Circuito, con residencia en Culiacán, a las veinticuatro horas del 15 de noviembre de 2022.</w:t>
      </w:r>
    </w:p>
    <w:p w:rsidR="009515A2" w:rsidRPr="009515A2" w:rsidRDefault="009515A2" w:rsidP="009515A2">
      <w:pPr>
        <w:shd w:val="clear" w:color="auto" w:fill="FFFFFF"/>
        <w:spacing w:after="101" w:line="240" w:lineRule="auto"/>
        <w:ind w:firstLine="288"/>
        <w:jc w:val="both"/>
        <w:rPr>
          <w:rFonts w:ascii="Arial" w:eastAsia="Times New Roman" w:hAnsi="Arial" w:cs="Arial"/>
          <w:color w:val="2F2F2F"/>
          <w:sz w:val="18"/>
          <w:szCs w:val="18"/>
          <w:lang w:eastAsia="es-MX"/>
        </w:rPr>
      </w:pPr>
      <w:r w:rsidRPr="009515A2">
        <w:rPr>
          <w:rFonts w:ascii="Arial" w:eastAsia="Times New Roman" w:hAnsi="Arial" w:cs="Arial"/>
          <w:b/>
          <w:bCs/>
          <w:color w:val="2F2F2F"/>
          <w:sz w:val="18"/>
          <w:szCs w:val="18"/>
          <w:lang w:eastAsia="es-MX"/>
        </w:rPr>
        <w:t>Artículo 2.</w:t>
      </w:r>
      <w:r w:rsidRPr="009515A2">
        <w:rPr>
          <w:rFonts w:ascii="Arial" w:eastAsia="Times New Roman" w:hAnsi="Arial" w:cs="Arial"/>
          <w:color w:val="2F2F2F"/>
          <w:sz w:val="18"/>
          <w:szCs w:val="18"/>
          <w:lang w:eastAsia="es-MX"/>
        </w:rPr>
        <w:t xml:space="preserve"> Las personas titulares de los órganos jurisdiccionales que concluyen funciones designarán a la o el servidor público encargado de elaborar una relación de los asuntos de su competencia, en las que </w:t>
      </w:r>
      <w:r w:rsidRPr="009515A2">
        <w:rPr>
          <w:rFonts w:ascii="Arial" w:eastAsia="Times New Roman" w:hAnsi="Arial" w:cs="Arial"/>
          <w:color w:val="2F2F2F"/>
          <w:sz w:val="18"/>
          <w:szCs w:val="18"/>
          <w:lang w:eastAsia="es-MX"/>
        </w:rPr>
        <w:lastRenderedPageBreak/>
        <w:t>se enumeren los expedientes de forma consecutiva, por tipo de asunto y por orden de antigüedad y se señale el estado procesal en que se encuentran. De igual forma, deben describirse los anexos, bienes, billetes de depósito, fianzas, valores y demás documentos. También deberá elaborar el acta de entrega-recepción de los expedientes y sus anexos, y entregará un tanto a la Dirección General de Gestión Judicial y otro lo enviará al Tribunal Colegiado de Apelación del Décimo Segundo Circuito, con residencia en Culiacán, para su recepción una vez que inicie funciones.</w:t>
      </w:r>
    </w:p>
    <w:p w:rsidR="009515A2" w:rsidRPr="009515A2" w:rsidRDefault="009515A2" w:rsidP="009515A2">
      <w:pPr>
        <w:shd w:val="clear" w:color="auto" w:fill="FFFFFF"/>
        <w:spacing w:after="101" w:line="240" w:lineRule="auto"/>
        <w:ind w:firstLine="288"/>
        <w:jc w:val="both"/>
        <w:rPr>
          <w:rFonts w:ascii="Arial" w:eastAsia="Times New Roman" w:hAnsi="Arial" w:cs="Arial"/>
          <w:color w:val="2F2F2F"/>
          <w:sz w:val="18"/>
          <w:szCs w:val="18"/>
          <w:lang w:eastAsia="es-MX"/>
        </w:rPr>
      </w:pPr>
      <w:r w:rsidRPr="009515A2">
        <w:rPr>
          <w:rFonts w:ascii="Arial" w:eastAsia="Times New Roman" w:hAnsi="Arial" w:cs="Arial"/>
          <w:color w:val="2F2F2F"/>
          <w:sz w:val="18"/>
          <w:szCs w:val="18"/>
          <w:lang w:eastAsia="es-MX"/>
        </w:rPr>
        <w:t>Asimismo, la referida servidora o servidor público deberá levantar, por duplicado, un acta administrativa con motivo de la conclusión de funciones, en el formato proporcionado por la Secretaría Ejecutiva de Creación de Nuevos Órganos, remitiendo un ejemplar a ésta y a la Secretaría Ejecutiva de Vigilancia para su archivo.</w:t>
      </w:r>
    </w:p>
    <w:p w:rsidR="009515A2" w:rsidRPr="009515A2" w:rsidRDefault="009515A2" w:rsidP="009515A2">
      <w:pPr>
        <w:shd w:val="clear" w:color="auto" w:fill="FFFFFF"/>
        <w:spacing w:after="101" w:line="240" w:lineRule="auto"/>
        <w:ind w:firstLine="288"/>
        <w:jc w:val="both"/>
        <w:rPr>
          <w:rFonts w:ascii="Arial" w:eastAsia="Times New Roman" w:hAnsi="Arial" w:cs="Arial"/>
          <w:color w:val="2F2F2F"/>
          <w:sz w:val="18"/>
          <w:szCs w:val="18"/>
          <w:lang w:eastAsia="es-MX"/>
        </w:rPr>
      </w:pPr>
      <w:r w:rsidRPr="009515A2">
        <w:rPr>
          <w:rFonts w:ascii="Arial" w:eastAsia="Times New Roman" w:hAnsi="Arial" w:cs="Arial"/>
          <w:b/>
          <w:bCs/>
          <w:color w:val="2F2F2F"/>
          <w:sz w:val="18"/>
          <w:szCs w:val="18"/>
          <w:lang w:eastAsia="es-MX"/>
        </w:rPr>
        <w:t>Artículo 3. </w:t>
      </w:r>
      <w:r w:rsidRPr="009515A2">
        <w:rPr>
          <w:rFonts w:ascii="Arial" w:eastAsia="Times New Roman" w:hAnsi="Arial" w:cs="Arial"/>
          <w:color w:val="2F2F2F"/>
          <w:sz w:val="18"/>
          <w:szCs w:val="18"/>
          <w:lang w:eastAsia="es-MX"/>
        </w:rPr>
        <w:t>Los Tribunales Unitarios de Circuito que concluyen funciones remitirán los asuntos de su índice al Tribunal Colegiado de Apelación en el Décimo Segundo Circuito, de forma que se reciban el día de su inicio de funciones, para continuar con el trámite hasta su conclusión, cumplimentación, en su caso, y archivo definitivo.</w:t>
      </w:r>
    </w:p>
    <w:p w:rsidR="009515A2" w:rsidRPr="009515A2" w:rsidRDefault="009515A2" w:rsidP="009515A2">
      <w:pPr>
        <w:shd w:val="clear" w:color="auto" w:fill="FFFFFF"/>
        <w:spacing w:after="101" w:line="240" w:lineRule="auto"/>
        <w:ind w:firstLine="288"/>
        <w:jc w:val="both"/>
        <w:rPr>
          <w:rFonts w:ascii="Arial" w:eastAsia="Times New Roman" w:hAnsi="Arial" w:cs="Arial"/>
          <w:color w:val="2F2F2F"/>
          <w:sz w:val="18"/>
          <w:szCs w:val="18"/>
          <w:lang w:eastAsia="es-MX"/>
        </w:rPr>
      </w:pPr>
      <w:r w:rsidRPr="009515A2">
        <w:rPr>
          <w:rFonts w:ascii="Arial" w:eastAsia="Times New Roman" w:hAnsi="Arial" w:cs="Arial"/>
          <w:b/>
          <w:bCs/>
          <w:color w:val="2F2F2F"/>
          <w:sz w:val="18"/>
          <w:szCs w:val="18"/>
          <w:lang w:eastAsia="es-MX"/>
        </w:rPr>
        <w:t>Artículo 4</w:t>
      </w:r>
      <w:r w:rsidRPr="009515A2">
        <w:rPr>
          <w:rFonts w:ascii="Arial" w:eastAsia="Times New Roman" w:hAnsi="Arial" w:cs="Arial"/>
          <w:color w:val="2F2F2F"/>
          <w:sz w:val="18"/>
          <w:szCs w:val="18"/>
          <w:lang w:eastAsia="es-MX"/>
        </w:rPr>
        <w:t>. Con el objeto de llevar a cabo adecuadamente el envío de asuntos de Mazatlán a Culiacán, los días del 8 al 15 de noviembre de 2022 serán inhábiles pero laborables para los Tribunales Unitarios Primero y Segundo del Décimo Segundo Circuito, con residencia en Mazatlán, Sinaloa, sin perjuicio de que se recibirán asuntos nuevos urgentes y se dará seguimiento a los asuntos ya radicados que tengan esa misma calidad.</w:t>
      </w:r>
    </w:p>
    <w:p w:rsidR="009515A2" w:rsidRPr="009515A2" w:rsidRDefault="009515A2" w:rsidP="009515A2">
      <w:pPr>
        <w:shd w:val="clear" w:color="auto" w:fill="FFFFFF"/>
        <w:spacing w:after="101" w:line="240" w:lineRule="auto"/>
        <w:ind w:firstLine="288"/>
        <w:jc w:val="both"/>
        <w:rPr>
          <w:rFonts w:ascii="Arial" w:eastAsia="Times New Roman" w:hAnsi="Arial" w:cs="Arial"/>
          <w:color w:val="2F2F2F"/>
          <w:sz w:val="18"/>
          <w:szCs w:val="18"/>
          <w:lang w:eastAsia="es-MX"/>
        </w:rPr>
      </w:pPr>
      <w:r w:rsidRPr="009515A2">
        <w:rPr>
          <w:rFonts w:ascii="Arial" w:eastAsia="Times New Roman" w:hAnsi="Arial" w:cs="Arial"/>
          <w:b/>
          <w:bCs/>
          <w:color w:val="2F2F2F"/>
          <w:sz w:val="18"/>
          <w:szCs w:val="18"/>
          <w:lang w:eastAsia="es-MX"/>
        </w:rPr>
        <w:t>Artículo 5.</w:t>
      </w:r>
      <w:r w:rsidRPr="009515A2">
        <w:rPr>
          <w:rFonts w:ascii="Arial" w:eastAsia="Times New Roman" w:hAnsi="Arial" w:cs="Arial"/>
          <w:color w:val="2F2F2F"/>
          <w:sz w:val="18"/>
          <w:szCs w:val="18"/>
          <w:lang w:eastAsia="es-MX"/>
        </w:rPr>
        <w:t> A partir de la fecha señalada en el artículo 1 de este Acuerdo, concluye funciones la Oficina de Correspondencia Común de los Tribunales Unitarios del Décimo Segundo Circuito, con residencia en Mazatlán, Sinaloa. La Dirección General de Gestión Judicial determinará lo relativo al destino del personal, documentación y archivo de la citada oficina, cuya jefa o jefe levantará un acta con motivo de su conclusión, remitiéndola a la citada Dirección General para su archivo y efectos conducentes. El mobiliario y equipo informático quedará en resguardo de la Administración Regional y de la Dirección General de Tecnologías de la Información, según corresponda, las que determinarán su destino.</w:t>
      </w:r>
    </w:p>
    <w:p w:rsidR="009515A2" w:rsidRPr="009515A2" w:rsidRDefault="009515A2" w:rsidP="009515A2">
      <w:pPr>
        <w:shd w:val="clear" w:color="auto" w:fill="FFFFFF"/>
        <w:spacing w:after="101" w:line="240" w:lineRule="auto"/>
        <w:ind w:firstLine="288"/>
        <w:jc w:val="both"/>
        <w:rPr>
          <w:rFonts w:ascii="Arial" w:eastAsia="Times New Roman" w:hAnsi="Arial" w:cs="Arial"/>
          <w:color w:val="2F2F2F"/>
          <w:sz w:val="18"/>
          <w:szCs w:val="18"/>
          <w:lang w:eastAsia="es-MX"/>
        </w:rPr>
      </w:pPr>
      <w:r w:rsidRPr="009515A2">
        <w:rPr>
          <w:rFonts w:ascii="Arial" w:eastAsia="Times New Roman" w:hAnsi="Arial" w:cs="Arial"/>
          <w:b/>
          <w:bCs/>
          <w:color w:val="2F2F2F"/>
          <w:sz w:val="18"/>
          <w:szCs w:val="18"/>
          <w:lang w:eastAsia="es-MX"/>
        </w:rPr>
        <w:t>Artículo 6. </w:t>
      </w:r>
      <w:r w:rsidRPr="009515A2">
        <w:rPr>
          <w:rFonts w:ascii="Arial" w:eastAsia="Times New Roman" w:hAnsi="Arial" w:cs="Arial"/>
          <w:color w:val="2F2F2F"/>
          <w:sz w:val="18"/>
          <w:szCs w:val="18"/>
          <w:lang w:eastAsia="es-MX"/>
        </w:rPr>
        <w:t>El Pleno y las Comisiones de Creación de Nuevos Órganos; de Carrera Judicial; y de Administración del Consejo de la Judicatura Federal, interpretarán y resolverán las cuestiones administrativas que se susciten con motivo de la aplicación del presente Acuerdo, en el ámbito de sus respectivas competencias.</w:t>
      </w:r>
    </w:p>
    <w:p w:rsidR="009515A2" w:rsidRPr="009515A2" w:rsidRDefault="009515A2" w:rsidP="009515A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515A2">
        <w:rPr>
          <w:rFonts w:ascii="Times" w:eastAsia="Times New Roman" w:hAnsi="Times" w:cs="Times New Roman"/>
          <w:b/>
          <w:bCs/>
          <w:color w:val="2F2F2F"/>
          <w:sz w:val="18"/>
          <w:szCs w:val="18"/>
          <w:lang w:eastAsia="es-MX"/>
        </w:rPr>
        <w:t>TRANSITORIOS</w:t>
      </w:r>
    </w:p>
    <w:p w:rsidR="009515A2" w:rsidRPr="009515A2" w:rsidRDefault="009515A2" w:rsidP="009515A2">
      <w:pPr>
        <w:shd w:val="clear" w:color="auto" w:fill="FFFFFF"/>
        <w:spacing w:after="101" w:line="240" w:lineRule="auto"/>
        <w:ind w:firstLine="288"/>
        <w:jc w:val="both"/>
        <w:rPr>
          <w:rFonts w:ascii="Arial" w:eastAsia="Times New Roman" w:hAnsi="Arial" w:cs="Arial"/>
          <w:color w:val="2F2F2F"/>
          <w:sz w:val="18"/>
          <w:szCs w:val="18"/>
          <w:lang w:eastAsia="es-MX"/>
        </w:rPr>
      </w:pPr>
      <w:r w:rsidRPr="009515A2">
        <w:rPr>
          <w:rFonts w:ascii="Arial" w:eastAsia="Times New Roman" w:hAnsi="Arial" w:cs="Arial"/>
          <w:b/>
          <w:bCs/>
          <w:color w:val="2F2F2F"/>
          <w:sz w:val="18"/>
          <w:szCs w:val="18"/>
          <w:lang w:eastAsia="es-MX"/>
        </w:rPr>
        <w:t>PRIMERO.</w:t>
      </w:r>
      <w:r w:rsidRPr="009515A2">
        <w:rPr>
          <w:rFonts w:ascii="Arial" w:eastAsia="Times New Roman" w:hAnsi="Arial" w:cs="Arial"/>
          <w:color w:val="2F2F2F"/>
          <w:sz w:val="18"/>
          <w:szCs w:val="18"/>
          <w:lang w:eastAsia="es-MX"/>
        </w:rPr>
        <w:t> El presente Acuerdo entrará en vigor el día de su aprobación.</w:t>
      </w:r>
    </w:p>
    <w:p w:rsidR="009515A2" w:rsidRPr="009515A2" w:rsidRDefault="009515A2" w:rsidP="009515A2">
      <w:pPr>
        <w:shd w:val="clear" w:color="auto" w:fill="FFFFFF"/>
        <w:spacing w:after="101" w:line="240" w:lineRule="auto"/>
        <w:ind w:firstLine="288"/>
        <w:jc w:val="both"/>
        <w:rPr>
          <w:rFonts w:ascii="Arial" w:eastAsia="Times New Roman" w:hAnsi="Arial" w:cs="Arial"/>
          <w:color w:val="2F2F2F"/>
          <w:sz w:val="18"/>
          <w:szCs w:val="18"/>
          <w:lang w:eastAsia="es-MX"/>
        </w:rPr>
      </w:pPr>
      <w:r w:rsidRPr="009515A2">
        <w:rPr>
          <w:rFonts w:ascii="Arial" w:eastAsia="Times New Roman" w:hAnsi="Arial" w:cs="Arial"/>
          <w:b/>
          <w:bCs/>
          <w:color w:val="2F2F2F"/>
          <w:sz w:val="18"/>
          <w:szCs w:val="18"/>
          <w:lang w:eastAsia="es-MX"/>
        </w:rPr>
        <w:t>SEGUNDO.</w:t>
      </w:r>
      <w:r w:rsidRPr="009515A2">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9515A2" w:rsidRPr="009515A2" w:rsidRDefault="009515A2" w:rsidP="009515A2">
      <w:pPr>
        <w:shd w:val="clear" w:color="auto" w:fill="FFFFFF"/>
        <w:spacing w:after="101" w:line="240" w:lineRule="auto"/>
        <w:ind w:firstLine="288"/>
        <w:jc w:val="both"/>
        <w:rPr>
          <w:rFonts w:ascii="Arial" w:eastAsia="Times New Roman" w:hAnsi="Arial" w:cs="Arial"/>
          <w:color w:val="2F2F2F"/>
          <w:sz w:val="18"/>
          <w:szCs w:val="18"/>
          <w:lang w:eastAsia="es-MX"/>
        </w:rPr>
      </w:pPr>
      <w:r w:rsidRPr="009515A2">
        <w:rPr>
          <w:rFonts w:ascii="Arial" w:eastAsia="Times New Roman" w:hAnsi="Arial" w:cs="Arial"/>
          <w:b/>
          <w:bCs/>
          <w:color w:val="2F2F2F"/>
          <w:sz w:val="18"/>
          <w:szCs w:val="18"/>
          <w:lang w:eastAsia="es-MX"/>
        </w:rPr>
        <w:t>TERCERO.</w:t>
      </w:r>
      <w:r w:rsidRPr="009515A2">
        <w:rPr>
          <w:rFonts w:ascii="Arial" w:eastAsia="Times New Roman" w:hAnsi="Arial" w:cs="Arial"/>
          <w:color w:val="2F2F2F"/>
          <w:sz w:val="18"/>
          <w:szCs w:val="18"/>
          <w:lang w:eastAsia="es-MX"/>
        </w:rPr>
        <w:t> La Secretaría Ejecutiva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9515A2" w:rsidRPr="009515A2" w:rsidRDefault="009515A2" w:rsidP="009515A2">
      <w:pPr>
        <w:shd w:val="clear" w:color="auto" w:fill="FFFFFF"/>
        <w:spacing w:after="101" w:line="240" w:lineRule="auto"/>
        <w:ind w:firstLine="288"/>
        <w:jc w:val="both"/>
        <w:rPr>
          <w:rFonts w:ascii="Arial" w:eastAsia="Times New Roman" w:hAnsi="Arial" w:cs="Arial"/>
          <w:color w:val="2F2F2F"/>
          <w:sz w:val="18"/>
          <w:szCs w:val="18"/>
          <w:lang w:eastAsia="es-MX"/>
        </w:rPr>
      </w:pPr>
      <w:r w:rsidRPr="009515A2">
        <w:rPr>
          <w:rFonts w:ascii="Arial" w:eastAsia="Times New Roman" w:hAnsi="Arial" w:cs="Arial"/>
          <w:b/>
          <w:bCs/>
          <w:color w:val="2F2F2F"/>
          <w:sz w:val="18"/>
          <w:szCs w:val="18"/>
          <w:lang w:eastAsia="es-MX"/>
        </w:rPr>
        <w:t>CUARTO.</w:t>
      </w:r>
      <w:r w:rsidRPr="009515A2">
        <w:rPr>
          <w:rFonts w:ascii="Arial" w:eastAsia="Times New Roman" w:hAnsi="Arial" w:cs="Arial"/>
          <w:color w:val="2F2F2F"/>
          <w:sz w:val="18"/>
          <w:szCs w:val="18"/>
          <w:lang w:eastAsia="es-MX"/>
        </w:rPr>
        <w:t> Los Tribunales Unitarios del Décimo Segundo Circuito publicarán en lugares visibles, para conocimiento del público en general, un aviso donde se informe lo determinado en el presente acuerdo, que de manera relevante señale su conclusión de funciones, la creación del Tribunal Colegiado de Apelación con residencia en Culiacán, Sinaloa, así como el órgano que conocerá de los juicios de amparo indirecto que se promuevan en contra de actos de aquel. La administración correspondiente mantendrá los avisos hasta dos meses después de la conclusión de funciones de los Tribunales Unitarios de que se trata.</w:t>
      </w:r>
    </w:p>
    <w:p w:rsidR="009515A2" w:rsidRPr="009515A2" w:rsidRDefault="009515A2" w:rsidP="009515A2">
      <w:pPr>
        <w:shd w:val="clear" w:color="auto" w:fill="FFFFFF"/>
        <w:spacing w:after="101" w:line="240" w:lineRule="auto"/>
        <w:ind w:firstLine="288"/>
        <w:jc w:val="both"/>
        <w:rPr>
          <w:rFonts w:ascii="Arial" w:eastAsia="Times New Roman" w:hAnsi="Arial" w:cs="Arial"/>
          <w:color w:val="2F2F2F"/>
          <w:sz w:val="16"/>
          <w:szCs w:val="16"/>
          <w:lang w:eastAsia="es-MX"/>
        </w:rPr>
      </w:pPr>
      <w:r w:rsidRPr="009515A2">
        <w:rPr>
          <w:rFonts w:ascii="Arial" w:eastAsia="Times New Roman" w:hAnsi="Arial" w:cs="Arial"/>
          <w:color w:val="2F2F2F"/>
          <w:sz w:val="16"/>
          <w:szCs w:val="16"/>
          <w:lang w:eastAsia="es-MX"/>
        </w:rPr>
        <w:t>EL LICENCIADO </w:t>
      </w:r>
      <w:r w:rsidRPr="009515A2">
        <w:rPr>
          <w:rFonts w:ascii="Arial" w:eastAsia="Times New Roman" w:hAnsi="Arial" w:cs="Arial"/>
          <w:b/>
          <w:bCs/>
          <w:color w:val="2F2F2F"/>
          <w:sz w:val="16"/>
          <w:szCs w:val="16"/>
          <w:lang w:eastAsia="es-MX"/>
        </w:rPr>
        <w:t>ARTURO GUERRERO ZAZUETA</w:t>
      </w:r>
      <w:r w:rsidRPr="009515A2">
        <w:rPr>
          <w:rFonts w:ascii="Arial" w:eastAsia="Times New Roman" w:hAnsi="Arial" w:cs="Arial"/>
          <w:color w:val="2F2F2F"/>
          <w:sz w:val="16"/>
          <w:szCs w:val="16"/>
          <w:lang w:eastAsia="es-MX"/>
        </w:rPr>
        <w:t xml:space="preserve">, SECRETARIO EJECUTIVO DEL PLENO DEL CONSEJO DE LA JUDICATURA FEDERAL, CERTIFICA: Que este Acuerdo General 35/2022, del Pleno del Consejo de la Judicatura Federal, relativo a la conclusión de funciones de los Tribunales Unitarios Primero y Segundo del Décimo Segundo Circuito, con residencia en Mazatlán, Sinaloa, de la oficina de correspondencia común que les presta servicio; y del Tercer Tribunal Unitario del mismo Circuito, con residencia en Culiacán, fue aprobado por el Pleno del propio Consejo, en sesión ordinaria de 26 de octubre de 2022, por unanimidad de votos de los señores Consejeros: Presidente Ministro Arturo Zaldívar Lelo de Larrea, Bernardo </w:t>
      </w:r>
      <w:proofErr w:type="spellStart"/>
      <w:r w:rsidRPr="009515A2">
        <w:rPr>
          <w:rFonts w:ascii="Arial" w:eastAsia="Times New Roman" w:hAnsi="Arial" w:cs="Arial"/>
          <w:color w:val="2F2F2F"/>
          <w:sz w:val="16"/>
          <w:szCs w:val="16"/>
          <w:lang w:eastAsia="es-MX"/>
        </w:rPr>
        <w:t>Bátiz</w:t>
      </w:r>
      <w:proofErr w:type="spellEnd"/>
      <w:r w:rsidRPr="009515A2">
        <w:rPr>
          <w:rFonts w:ascii="Arial" w:eastAsia="Times New Roman" w:hAnsi="Arial" w:cs="Arial"/>
          <w:color w:val="2F2F2F"/>
          <w:sz w:val="16"/>
          <w:szCs w:val="16"/>
          <w:lang w:eastAsia="es-MX"/>
        </w:rPr>
        <w:t xml:space="preserve"> Vázquez, Eva Verónica de </w:t>
      </w:r>
      <w:proofErr w:type="spellStart"/>
      <w:r w:rsidRPr="009515A2">
        <w:rPr>
          <w:rFonts w:ascii="Arial" w:eastAsia="Times New Roman" w:hAnsi="Arial" w:cs="Arial"/>
          <w:color w:val="2F2F2F"/>
          <w:sz w:val="16"/>
          <w:szCs w:val="16"/>
          <w:lang w:eastAsia="es-MX"/>
        </w:rPr>
        <w:t>Gyvés</w:t>
      </w:r>
      <w:proofErr w:type="spellEnd"/>
      <w:r w:rsidRPr="009515A2">
        <w:rPr>
          <w:rFonts w:ascii="Arial" w:eastAsia="Times New Roman" w:hAnsi="Arial" w:cs="Arial"/>
          <w:color w:val="2F2F2F"/>
          <w:sz w:val="16"/>
          <w:szCs w:val="16"/>
          <w:lang w:eastAsia="es-MX"/>
        </w:rPr>
        <w:t xml:space="preserve"> Zárate, Alejandro Sergio González Bernabé y Lilia Mónica López Benítez.- Ciudad de México, a 7 de noviembre de 2022.- Conste.- Rúbrica.</w:t>
      </w:r>
    </w:p>
    <w:p w:rsidR="00323B1A" w:rsidRDefault="00323B1A"/>
    <w:sectPr w:rsidR="00323B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5A2"/>
    <w:rsid w:val="00323B1A"/>
    <w:rsid w:val="009515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5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5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2326">
      <w:bodyDiv w:val="1"/>
      <w:marLeft w:val="0"/>
      <w:marRight w:val="0"/>
      <w:marTop w:val="0"/>
      <w:marBottom w:val="0"/>
      <w:divBdr>
        <w:top w:val="none" w:sz="0" w:space="0" w:color="auto"/>
        <w:left w:val="none" w:sz="0" w:space="0" w:color="auto"/>
        <w:bottom w:val="none" w:sz="0" w:space="0" w:color="auto"/>
        <w:right w:val="none" w:sz="0" w:space="0" w:color="auto"/>
      </w:divBdr>
      <w:divsChild>
        <w:div w:id="1905023279">
          <w:marLeft w:val="0"/>
          <w:marRight w:val="0"/>
          <w:marTop w:val="0"/>
          <w:marBottom w:val="101"/>
          <w:divBdr>
            <w:top w:val="none" w:sz="0" w:space="0" w:color="auto"/>
            <w:left w:val="none" w:sz="0" w:space="0" w:color="auto"/>
            <w:bottom w:val="none" w:sz="0" w:space="0" w:color="auto"/>
            <w:right w:val="none" w:sz="0" w:space="0" w:color="auto"/>
          </w:divBdr>
        </w:div>
        <w:div w:id="1913852998">
          <w:marLeft w:val="0"/>
          <w:marRight w:val="0"/>
          <w:marTop w:val="101"/>
          <w:marBottom w:val="101"/>
          <w:divBdr>
            <w:top w:val="none" w:sz="0" w:space="0" w:color="auto"/>
            <w:left w:val="none" w:sz="0" w:space="0" w:color="auto"/>
            <w:bottom w:val="none" w:sz="0" w:space="0" w:color="auto"/>
            <w:right w:val="none" w:sz="0" w:space="0" w:color="auto"/>
          </w:divBdr>
        </w:div>
        <w:div w:id="1422875052">
          <w:marLeft w:val="0"/>
          <w:marRight w:val="0"/>
          <w:marTop w:val="0"/>
          <w:marBottom w:val="101"/>
          <w:divBdr>
            <w:top w:val="none" w:sz="0" w:space="0" w:color="auto"/>
            <w:left w:val="none" w:sz="0" w:space="0" w:color="auto"/>
            <w:bottom w:val="none" w:sz="0" w:space="0" w:color="auto"/>
            <w:right w:val="none" w:sz="0" w:space="0" w:color="auto"/>
          </w:divBdr>
        </w:div>
        <w:div w:id="956184989">
          <w:marLeft w:val="0"/>
          <w:marRight w:val="0"/>
          <w:marTop w:val="0"/>
          <w:marBottom w:val="101"/>
          <w:divBdr>
            <w:top w:val="none" w:sz="0" w:space="0" w:color="auto"/>
            <w:left w:val="none" w:sz="0" w:space="0" w:color="auto"/>
            <w:bottom w:val="none" w:sz="0" w:space="0" w:color="auto"/>
            <w:right w:val="none" w:sz="0" w:space="0" w:color="auto"/>
          </w:divBdr>
        </w:div>
        <w:div w:id="1634292510">
          <w:marLeft w:val="0"/>
          <w:marRight w:val="0"/>
          <w:marTop w:val="0"/>
          <w:marBottom w:val="101"/>
          <w:divBdr>
            <w:top w:val="none" w:sz="0" w:space="0" w:color="auto"/>
            <w:left w:val="none" w:sz="0" w:space="0" w:color="auto"/>
            <w:bottom w:val="none" w:sz="0" w:space="0" w:color="auto"/>
            <w:right w:val="none" w:sz="0" w:space="0" w:color="auto"/>
          </w:divBdr>
        </w:div>
        <w:div w:id="1396128965">
          <w:marLeft w:val="0"/>
          <w:marRight w:val="0"/>
          <w:marTop w:val="0"/>
          <w:marBottom w:val="101"/>
          <w:divBdr>
            <w:top w:val="none" w:sz="0" w:space="0" w:color="auto"/>
            <w:left w:val="none" w:sz="0" w:space="0" w:color="auto"/>
            <w:bottom w:val="none" w:sz="0" w:space="0" w:color="auto"/>
            <w:right w:val="none" w:sz="0" w:space="0" w:color="auto"/>
          </w:divBdr>
        </w:div>
        <w:div w:id="2064284927">
          <w:marLeft w:val="0"/>
          <w:marRight w:val="0"/>
          <w:marTop w:val="0"/>
          <w:marBottom w:val="101"/>
          <w:divBdr>
            <w:top w:val="none" w:sz="0" w:space="0" w:color="auto"/>
            <w:left w:val="none" w:sz="0" w:space="0" w:color="auto"/>
            <w:bottom w:val="none" w:sz="0" w:space="0" w:color="auto"/>
            <w:right w:val="none" w:sz="0" w:space="0" w:color="auto"/>
          </w:divBdr>
        </w:div>
        <w:div w:id="22488698">
          <w:marLeft w:val="0"/>
          <w:marRight w:val="0"/>
          <w:marTop w:val="0"/>
          <w:marBottom w:val="101"/>
          <w:divBdr>
            <w:top w:val="none" w:sz="0" w:space="0" w:color="auto"/>
            <w:left w:val="none" w:sz="0" w:space="0" w:color="auto"/>
            <w:bottom w:val="none" w:sz="0" w:space="0" w:color="auto"/>
            <w:right w:val="none" w:sz="0" w:space="0" w:color="auto"/>
          </w:divBdr>
        </w:div>
        <w:div w:id="1019622471">
          <w:marLeft w:val="0"/>
          <w:marRight w:val="0"/>
          <w:marTop w:val="0"/>
          <w:marBottom w:val="101"/>
          <w:divBdr>
            <w:top w:val="none" w:sz="0" w:space="0" w:color="auto"/>
            <w:left w:val="none" w:sz="0" w:space="0" w:color="auto"/>
            <w:bottom w:val="none" w:sz="0" w:space="0" w:color="auto"/>
            <w:right w:val="none" w:sz="0" w:space="0" w:color="auto"/>
          </w:divBdr>
        </w:div>
        <w:div w:id="329992074">
          <w:marLeft w:val="0"/>
          <w:marRight w:val="0"/>
          <w:marTop w:val="101"/>
          <w:marBottom w:val="101"/>
          <w:divBdr>
            <w:top w:val="none" w:sz="0" w:space="0" w:color="auto"/>
            <w:left w:val="none" w:sz="0" w:space="0" w:color="auto"/>
            <w:bottom w:val="none" w:sz="0" w:space="0" w:color="auto"/>
            <w:right w:val="none" w:sz="0" w:space="0" w:color="auto"/>
          </w:divBdr>
        </w:div>
        <w:div w:id="530656664">
          <w:marLeft w:val="0"/>
          <w:marRight w:val="0"/>
          <w:marTop w:val="0"/>
          <w:marBottom w:val="101"/>
          <w:divBdr>
            <w:top w:val="none" w:sz="0" w:space="0" w:color="auto"/>
            <w:left w:val="none" w:sz="0" w:space="0" w:color="auto"/>
            <w:bottom w:val="none" w:sz="0" w:space="0" w:color="auto"/>
            <w:right w:val="none" w:sz="0" w:space="0" w:color="auto"/>
          </w:divBdr>
        </w:div>
        <w:div w:id="965086975">
          <w:marLeft w:val="0"/>
          <w:marRight w:val="0"/>
          <w:marTop w:val="0"/>
          <w:marBottom w:val="101"/>
          <w:divBdr>
            <w:top w:val="none" w:sz="0" w:space="0" w:color="auto"/>
            <w:left w:val="none" w:sz="0" w:space="0" w:color="auto"/>
            <w:bottom w:val="none" w:sz="0" w:space="0" w:color="auto"/>
            <w:right w:val="none" w:sz="0" w:space="0" w:color="auto"/>
          </w:divBdr>
        </w:div>
        <w:div w:id="1486125887">
          <w:marLeft w:val="0"/>
          <w:marRight w:val="0"/>
          <w:marTop w:val="0"/>
          <w:marBottom w:val="101"/>
          <w:divBdr>
            <w:top w:val="none" w:sz="0" w:space="0" w:color="auto"/>
            <w:left w:val="none" w:sz="0" w:space="0" w:color="auto"/>
            <w:bottom w:val="none" w:sz="0" w:space="0" w:color="auto"/>
            <w:right w:val="none" w:sz="0" w:space="0" w:color="auto"/>
          </w:divBdr>
        </w:div>
        <w:div w:id="1155414328">
          <w:marLeft w:val="0"/>
          <w:marRight w:val="0"/>
          <w:marTop w:val="0"/>
          <w:marBottom w:val="101"/>
          <w:divBdr>
            <w:top w:val="none" w:sz="0" w:space="0" w:color="auto"/>
            <w:left w:val="none" w:sz="0" w:space="0" w:color="auto"/>
            <w:bottom w:val="none" w:sz="0" w:space="0" w:color="auto"/>
            <w:right w:val="none" w:sz="0" w:space="0" w:color="auto"/>
          </w:divBdr>
        </w:div>
        <w:div w:id="1084762545">
          <w:marLeft w:val="0"/>
          <w:marRight w:val="0"/>
          <w:marTop w:val="0"/>
          <w:marBottom w:val="101"/>
          <w:divBdr>
            <w:top w:val="none" w:sz="0" w:space="0" w:color="auto"/>
            <w:left w:val="none" w:sz="0" w:space="0" w:color="auto"/>
            <w:bottom w:val="none" w:sz="0" w:space="0" w:color="auto"/>
            <w:right w:val="none" w:sz="0" w:space="0" w:color="auto"/>
          </w:divBdr>
        </w:div>
        <w:div w:id="2142335573">
          <w:marLeft w:val="0"/>
          <w:marRight w:val="0"/>
          <w:marTop w:val="0"/>
          <w:marBottom w:val="101"/>
          <w:divBdr>
            <w:top w:val="none" w:sz="0" w:space="0" w:color="auto"/>
            <w:left w:val="none" w:sz="0" w:space="0" w:color="auto"/>
            <w:bottom w:val="none" w:sz="0" w:space="0" w:color="auto"/>
            <w:right w:val="none" w:sz="0" w:space="0" w:color="auto"/>
          </w:divBdr>
        </w:div>
        <w:div w:id="1583026168">
          <w:marLeft w:val="0"/>
          <w:marRight w:val="0"/>
          <w:marTop w:val="0"/>
          <w:marBottom w:val="101"/>
          <w:divBdr>
            <w:top w:val="none" w:sz="0" w:space="0" w:color="auto"/>
            <w:left w:val="none" w:sz="0" w:space="0" w:color="auto"/>
            <w:bottom w:val="none" w:sz="0" w:space="0" w:color="auto"/>
            <w:right w:val="none" w:sz="0" w:space="0" w:color="auto"/>
          </w:divBdr>
        </w:div>
        <w:div w:id="666514445">
          <w:marLeft w:val="0"/>
          <w:marRight w:val="0"/>
          <w:marTop w:val="101"/>
          <w:marBottom w:val="101"/>
          <w:divBdr>
            <w:top w:val="none" w:sz="0" w:space="0" w:color="auto"/>
            <w:left w:val="none" w:sz="0" w:space="0" w:color="auto"/>
            <w:bottom w:val="none" w:sz="0" w:space="0" w:color="auto"/>
            <w:right w:val="none" w:sz="0" w:space="0" w:color="auto"/>
          </w:divBdr>
        </w:div>
        <w:div w:id="1552882432">
          <w:marLeft w:val="0"/>
          <w:marRight w:val="0"/>
          <w:marTop w:val="0"/>
          <w:marBottom w:val="101"/>
          <w:divBdr>
            <w:top w:val="none" w:sz="0" w:space="0" w:color="auto"/>
            <w:left w:val="none" w:sz="0" w:space="0" w:color="auto"/>
            <w:bottom w:val="none" w:sz="0" w:space="0" w:color="auto"/>
            <w:right w:val="none" w:sz="0" w:space="0" w:color="auto"/>
          </w:divBdr>
        </w:div>
        <w:div w:id="1559560195">
          <w:marLeft w:val="0"/>
          <w:marRight w:val="0"/>
          <w:marTop w:val="0"/>
          <w:marBottom w:val="101"/>
          <w:divBdr>
            <w:top w:val="none" w:sz="0" w:space="0" w:color="auto"/>
            <w:left w:val="none" w:sz="0" w:space="0" w:color="auto"/>
            <w:bottom w:val="none" w:sz="0" w:space="0" w:color="auto"/>
            <w:right w:val="none" w:sz="0" w:space="0" w:color="auto"/>
          </w:divBdr>
        </w:div>
        <w:div w:id="112865999">
          <w:marLeft w:val="0"/>
          <w:marRight w:val="0"/>
          <w:marTop w:val="0"/>
          <w:marBottom w:val="101"/>
          <w:divBdr>
            <w:top w:val="none" w:sz="0" w:space="0" w:color="auto"/>
            <w:left w:val="none" w:sz="0" w:space="0" w:color="auto"/>
            <w:bottom w:val="none" w:sz="0" w:space="0" w:color="auto"/>
            <w:right w:val="none" w:sz="0" w:space="0" w:color="auto"/>
          </w:divBdr>
        </w:div>
        <w:div w:id="903756569">
          <w:marLeft w:val="0"/>
          <w:marRight w:val="0"/>
          <w:marTop w:val="0"/>
          <w:marBottom w:val="101"/>
          <w:divBdr>
            <w:top w:val="none" w:sz="0" w:space="0" w:color="auto"/>
            <w:left w:val="none" w:sz="0" w:space="0" w:color="auto"/>
            <w:bottom w:val="none" w:sz="0" w:space="0" w:color="auto"/>
            <w:right w:val="none" w:sz="0" w:space="0" w:color="auto"/>
          </w:divBdr>
        </w:div>
        <w:div w:id="96346461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1400</Words>
  <Characters>7700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2022-11-14T14:39:00Z</dcterms:created>
  <dcterms:modified xsi:type="dcterms:W3CDTF">2022-11-14T14:41:00Z</dcterms:modified>
</cp:coreProperties>
</file>