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232" w:rsidRDefault="00C40232" w:rsidP="00C40232">
      <w:pPr>
        <w:jc w:val="center"/>
        <w:rPr>
          <w:rFonts w:ascii="Verdana" w:hAnsi="Verdana"/>
          <w:b/>
          <w:bCs/>
          <w:color w:val="0070C0"/>
          <w:sz w:val="24"/>
        </w:rPr>
      </w:pPr>
      <w:r w:rsidRPr="00C40232">
        <w:rPr>
          <w:rFonts w:ascii="Verdana" w:hAnsi="Verdana"/>
          <w:b/>
          <w:bCs/>
          <w:color w:val="0070C0"/>
          <w:sz w:val="24"/>
        </w:rPr>
        <w:t xml:space="preserve">Decreto por el que se modifica la Tarifa de la Ley de los Impuestos Generales </w:t>
      </w:r>
      <w:r>
        <w:rPr>
          <w:rFonts w:ascii="Verdana" w:hAnsi="Verdana"/>
          <w:b/>
          <w:bCs/>
          <w:color w:val="0070C0"/>
          <w:sz w:val="24"/>
        </w:rPr>
        <w:t>de Importación y de Exportación</w:t>
      </w:r>
    </w:p>
    <w:p w:rsidR="00C40232" w:rsidRDefault="00C40232" w:rsidP="00C40232">
      <w:pPr>
        <w:jc w:val="center"/>
        <w:rPr>
          <w:rFonts w:ascii="Verdana" w:hAnsi="Verdana"/>
          <w:b/>
          <w:bCs/>
          <w:color w:val="0070C0"/>
          <w:sz w:val="24"/>
        </w:rPr>
      </w:pPr>
      <w:r>
        <w:rPr>
          <w:rFonts w:ascii="Verdana" w:hAnsi="Verdana"/>
          <w:b/>
          <w:bCs/>
          <w:color w:val="0070C0"/>
          <w:sz w:val="24"/>
        </w:rPr>
        <w:t>(DOF del 15 de octubre de 2019)</w:t>
      </w:r>
    </w:p>
    <w:p w:rsidR="00C40232" w:rsidRPr="00C40232" w:rsidRDefault="00C40232" w:rsidP="00C40232">
      <w:pPr>
        <w:jc w:val="both"/>
        <w:rPr>
          <w:rFonts w:ascii="Verdana" w:hAnsi="Verdana"/>
          <w:b/>
          <w:bCs/>
          <w:sz w:val="20"/>
        </w:rPr>
      </w:pPr>
      <w:r w:rsidRPr="00C40232">
        <w:rPr>
          <w:rFonts w:ascii="Verdana" w:hAnsi="Verdana"/>
          <w:b/>
          <w:bCs/>
          <w:sz w:val="20"/>
        </w:rPr>
        <w:t>Al margen un sello con el Escudo Nacional, que dice: Estados Unidos Mexicanos.- Presidencia de la República.</w:t>
      </w:r>
    </w:p>
    <w:p w:rsidR="00C40232" w:rsidRPr="00C40232" w:rsidRDefault="00C40232" w:rsidP="00C40232">
      <w:pPr>
        <w:jc w:val="both"/>
        <w:rPr>
          <w:rFonts w:ascii="Verdana" w:hAnsi="Verdana"/>
          <w:bCs/>
          <w:sz w:val="20"/>
        </w:rPr>
      </w:pPr>
      <w:r w:rsidRPr="00C40232">
        <w:rPr>
          <w:rFonts w:ascii="Verdana" w:hAnsi="Verdana"/>
          <w:b/>
          <w:bCs/>
          <w:sz w:val="20"/>
        </w:rPr>
        <w:t>ANDRÉS MANUEL LÓPEZ OBRADOR</w:t>
      </w:r>
      <w:r w:rsidRPr="00C40232">
        <w:rPr>
          <w:rFonts w:ascii="Verdana" w:hAnsi="Verdana"/>
          <w:bCs/>
          <w:sz w:val="20"/>
        </w:rPr>
        <w:t>, Presidente de los Estados Unidos Mexicanos, en ejercicio de la facultad que me confiere el artículo 89, fracción I de la Constitución Política de los Estados Unidos Mexicanos, con fundamento en los artículos 131 de la propia Constitución; 31 y 34 de la Ley Orgánica de la Administración Pública Federal, y 4o., fracción I y 12 de la Ley de Comercio Exterior, y</w:t>
      </w:r>
    </w:p>
    <w:p w:rsidR="00C40232" w:rsidRPr="00C40232" w:rsidRDefault="00C40232" w:rsidP="00C40232">
      <w:pPr>
        <w:jc w:val="both"/>
        <w:rPr>
          <w:rFonts w:ascii="Verdana" w:hAnsi="Verdana"/>
          <w:b/>
          <w:bCs/>
          <w:sz w:val="20"/>
        </w:rPr>
      </w:pPr>
      <w:r w:rsidRPr="00C40232">
        <w:rPr>
          <w:rFonts w:ascii="Verdana" w:hAnsi="Verdana"/>
          <w:b/>
          <w:bCs/>
          <w:sz w:val="20"/>
        </w:rPr>
        <w:t>CONSIDERANDO</w:t>
      </w:r>
    </w:p>
    <w:p w:rsidR="00C40232" w:rsidRPr="00C40232" w:rsidRDefault="00C40232" w:rsidP="00C40232">
      <w:pPr>
        <w:jc w:val="both"/>
        <w:rPr>
          <w:rFonts w:ascii="Verdana" w:hAnsi="Verdana"/>
          <w:bCs/>
          <w:sz w:val="20"/>
        </w:rPr>
      </w:pPr>
      <w:r w:rsidRPr="00C40232">
        <w:rPr>
          <w:rFonts w:ascii="Verdana" w:hAnsi="Verdana"/>
          <w:bCs/>
          <w:sz w:val="20"/>
        </w:rPr>
        <w:t>Que el 18 de junio de 2007 se publicó en el Diario Oficial de la Federación la Ley de los Impuestos Generales de Importación y de Exportación, en la que se establece la Tarifa arancelaria aplicable a la importación y a la exportación de mercancías en territorio nacional (Tarifa);</w:t>
      </w:r>
    </w:p>
    <w:p w:rsidR="00C40232" w:rsidRPr="00C40232" w:rsidRDefault="00C40232" w:rsidP="00C40232">
      <w:pPr>
        <w:jc w:val="both"/>
        <w:rPr>
          <w:rFonts w:ascii="Verdana" w:hAnsi="Verdana"/>
          <w:bCs/>
          <w:sz w:val="20"/>
        </w:rPr>
      </w:pPr>
      <w:r w:rsidRPr="00C40232">
        <w:rPr>
          <w:rFonts w:ascii="Verdana" w:hAnsi="Verdana"/>
          <w:bCs/>
          <w:sz w:val="20"/>
        </w:rPr>
        <w:t>Que mediante diversos Decretos publicados en el Diario Oficial de la Federación el 7 de octubre de 2015; el 4 de abril y el 7 de octubre de 2016; el 6 de abril y el 17 de octubre de 2017, se modificó la Tarifa con el objeto de aumentar temporalmente el arancel de importación de 97 fracciones arancelarias correspondientes a seis familias de mercancías del sector siderúrgico: planchón de acero sin alear y aleado, lámina rolada en caliente, lámina rolada en frío, placa en hoja, placa en rollo y alambrón;</w:t>
      </w:r>
    </w:p>
    <w:p w:rsidR="00C40232" w:rsidRPr="00C40232" w:rsidRDefault="00C40232" w:rsidP="00C40232">
      <w:pPr>
        <w:jc w:val="both"/>
        <w:rPr>
          <w:rFonts w:ascii="Verdana" w:hAnsi="Verdana"/>
          <w:bCs/>
          <w:sz w:val="20"/>
        </w:rPr>
      </w:pPr>
      <w:r w:rsidRPr="00C40232">
        <w:rPr>
          <w:rFonts w:ascii="Verdana" w:hAnsi="Verdana"/>
          <w:bCs/>
          <w:sz w:val="20"/>
        </w:rPr>
        <w:t>Que ante un entorno complejo para el sector siderúrgico nacional y la imposición de aranceles unilaterales del 25% a las importaciones de acero provenientes de México en marzo de 2018, con efecto a partir del 1 de junio del mismo año, por Estados Unidos de América (EE.UU.), mediante Decretos publicados el 5 de junio y 17 de agosto de 2018 y el 25 de marzo de 2019 se modificó la Tarifa con objeto de aumentar temporalmente el arancel de importación a 189 fracciones arancelarias que corresponden a mercancías del sector siderúrgico entre ellas las relacionadas a planchón de acero sin alear y aleado con un nivel arancelario similar al que han empleado otros países;</w:t>
      </w:r>
    </w:p>
    <w:p w:rsidR="00C40232" w:rsidRPr="00C40232" w:rsidRDefault="00C40232" w:rsidP="00C40232">
      <w:pPr>
        <w:jc w:val="both"/>
        <w:rPr>
          <w:rFonts w:ascii="Verdana" w:hAnsi="Verdana"/>
          <w:bCs/>
          <w:sz w:val="20"/>
        </w:rPr>
      </w:pPr>
      <w:r w:rsidRPr="00C40232">
        <w:rPr>
          <w:rFonts w:ascii="Verdana" w:hAnsi="Verdana"/>
          <w:bCs/>
          <w:sz w:val="20"/>
        </w:rPr>
        <w:t>Que dicha medida buscó hacer frente a la crisis que enfrentaba el mercado internacional del sector acerero, agravada por la reducción en el crecimiento de la demanda, la sobrecapacidad mundial de producción y el incremento de las importaciones realizadas mediante prácticas desleales de comercio;</w:t>
      </w:r>
    </w:p>
    <w:p w:rsidR="00C40232" w:rsidRPr="00C40232" w:rsidRDefault="00C40232" w:rsidP="00C40232">
      <w:pPr>
        <w:jc w:val="both"/>
        <w:rPr>
          <w:rFonts w:ascii="Verdana" w:hAnsi="Verdana"/>
          <w:bCs/>
          <w:sz w:val="20"/>
        </w:rPr>
      </w:pPr>
      <w:r w:rsidRPr="00C40232">
        <w:rPr>
          <w:rFonts w:ascii="Verdana" w:hAnsi="Verdana"/>
          <w:bCs/>
          <w:sz w:val="20"/>
        </w:rPr>
        <w:t>Que desde la publicación de incremento de aranceles del 7 de octubre de 2015, las fracciones arancelarias 7207.12.01, 7207.12.99 y 7224.90.02 correspondientes a planchón de acero sin alear y aleado han sido consideradas como sensibles para la industria nacional;</w:t>
      </w:r>
    </w:p>
    <w:p w:rsidR="00C40232" w:rsidRPr="00C40232" w:rsidRDefault="00C40232" w:rsidP="00C40232">
      <w:pPr>
        <w:jc w:val="both"/>
        <w:rPr>
          <w:rFonts w:ascii="Verdana" w:hAnsi="Verdana"/>
          <w:bCs/>
          <w:sz w:val="20"/>
        </w:rPr>
      </w:pPr>
      <w:r w:rsidRPr="00C40232">
        <w:rPr>
          <w:rFonts w:ascii="Verdana" w:hAnsi="Verdana"/>
          <w:bCs/>
          <w:sz w:val="20"/>
        </w:rPr>
        <w:lastRenderedPageBreak/>
        <w:t xml:space="preserve">Que desde mayo del 2019, México ha sido exceptuado de los aranceles impuestos por EE. UU. </w:t>
      </w:r>
      <w:proofErr w:type="gramStart"/>
      <w:r w:rsidRPr="00C40232">
        <w:rPr>
          <w:rFonts w:ascii="Verdana" w:hAnsi="Verdana"/>
          <w:bCs/>
          <w:sz w:val="20"/>
        </w:rPr>
        <w:t>bajo</w:t>
      </w:r>
      <w:proofErr w:type="gramEnd"/>
      <w:r w:rsidRPr="00C40232">
        <w:rPr>
          <w:rFonts w:ascii="Verdana" w:hAnsi="Verdana"/>
          <w:bCs/>
          <w:sz w:val="20"/>
        </w:rPr>
        <w:t xml:space="preserve"> la denominada Sección 232 de la Ley de Comercio de 1962, los cuales aún permanecen vigentes para la mayor parte de países del mundo, y por ende busca fortalecer el control sobre el acero que ingresa a su territorio originario de los países con los que no cuenta con un tratado comercial;</w:t>
      </w:r>
    </w:p>
    <w:p w:rsidR="00C40232" w:rsidRPr="00C40232" w:rsidRDefault="00C40232" w:rsidP="00C40232">
      <w:pPr>
        <w:jc w:val="both"/>
        <w:rPr>
          <w:rFonts w:ascii="Verdana" w:hAnsi="Verdana"/>
          <w:bCs/>
          <w:sz w:val="20"/>
        </w:rPr>
      </w:pPr>
      <w:r w:rsidRPr="00C40232">
        <w:rPr>
          <w:rFonts w:ascii="Verdana" w:hAnsi="Verdana"/>
          <w:bCs/>
          <w:sz w:val="20"/>
        </w:rPr>
        <w:t>Que mediante Decreto publicado en el Diario Oficial de la Federación, el 20 de septiembre de 2019, se modificó la descripción de la fracción arancelaria 7224.90.02;</w:t>
      </w:r>
    </w:p>
    <w:p w:rsidR="00C40232" w:rsidRPr="00C40232" w:rsidRDefault="00C40232" w:rsidP="00C40232">
      <w:pPr>
        <w:jc w:val="both"/>
        <w:rPr>
          <w:rFonts w:ascii="Verdana" w:hAnsi="Verdana"/>
          <w:bCs/>
          <w:sz w:val="20"/>
        </w:rPr>
      </w:pPr>
      <w:r w:rsidRPr="00C40232">
        <w:rPr>
          <w:rFonts w:ascii="Verdana" w:hAnsi="Verdana"/>
          <w:bCs/>
          <w:sz w:val="20"/>
        </w:rPr>
        <w:t>Que en virtud de que el incremento de aranceles en nuestro país, demostró tener un impacto positivo en la redistribución de los países de origen de donde se importan los productos de acero a México, resulta urgente y necesario establecer un aumento temporal del impuesto general de importación, por un periodo que permita monitorear su comercio, para las fracciones arancelarias correspondientes a planchón de acero sin alear y aleado antes referidas, con el fin de coadyuvar en la detección y combate a prácticas ilícitas en la importación, como lo es la triangulación, alentada por el aumento de la oferta mundial del acero, y</w:t>
      </w:r>
    </w:p>
    <w:p w:rsidR="00C40232" w:rsidRPr="00C40232" w:rsidRDefault="00C40232" w:rsidP="00C40232">
      <w:pPr>
        <w:jc w:val="both"/>
        <w:rPr>
          <w:rFonts w:ascii="Verdana" w:hAnsi="Verdana"/>
          <w:bCs/>
          <w:sz w:val="20"/>
        </w:rPr>
      </w:pPr>
      <w:r w:rsidRPr="00C40232">
        <w:rPr>
          <w:rFonts w:ascii="Verdana" w:hAnsi="Verdana"/>
          <w:bCs/>
          <w:sz w:val="20"/>
        </w:rPr>
        <w:t>Que conforme a lo dispuesto en la Ley de Comercio Exterior, la medida a que se refiere el presente Decreto cuenta con la opinión favorable de la Comisión de Comercio Exterior, he tenido a bien expedir el siguiente</w:t>
      </w:r>
    </w:p>
    <w:p w:rsidR="00C40232" w:rsidRPr="00C40232" w:rsidRDefault="00C40232" w:rsidP="00C40232">
      <w:pPr>
        <w:jc w:val="both"/>
        <w:rPr>
          <w:rFonts w:ascii="Verdana" w:hAnsi="Verdana"/>
          <w:b/>
          <w:bCs/>
          <w:sz w:val="20"/>
        </w:rPr>
      </w:pPr>
      <w:r w:rsidRPr="00C40232">
        <w:rPr>
          <w:rFonts w:ascii="Verdana" w:hAnsi="Verdana"/>
          <w:b/>
          <w:bCs/>
          <w:sz w:val="20"/>
        </w:rPr>
        <w:t>DECRETO</w:t>
      </w:r>
    </w:p>
    <w:p w:rsidR="00C40232" w:rsidRPr="00C40232" w:rsidRDefault="00C40232" w:rsidP="00C40232">
      <w:pPr>
        <w:jc w:val="both"/>
        <w:rPr>
          <w:rFonts w:ascii="Verdana" w:hAnsi="Verdana"/>
          <w:bCs/>
          <w:sz w:val="20"/>
        </w:rPr>
      </w:pPr>
      <w:r w:rsidRPr="00C40232">
        <w:rPr>
          <w:rFonts w:ascii="Verdana" w:hAnsi="Verdana"/>
          <w:b/>
          <w:bCs/>
          <w:sz w:val="20"/>
        </w:rPr>
        <w:t>Artículo 1.-</w:t>
      </w:r>
      <w:r w:rsidRPr="00C40232">
        <w:rPr>
          <w:rFonts w:ascii="Verdana" w:hAnsi="Verdana"/>
          <w:bCs/>
          <w:sz w:val="20"/>
        </w:rPr>
        <w:t> Se </w:t>
      </w:r>
      <w:r w:rsidRPr="00C40232">
        <w:rPr>
          <w:rFonts w:ascii="Verdana" w:hAnsi="Verdana"/>
          <w:b/>
          <w:bCs/>
          <w:sz w:val="20"/>
        </w:rPr>
        <w:t>modifican</w:t>
      </w:r>
      <w:r w:rsidRPr="00C40232">
        <w:rPr>
          <w:rFonts w:ascii="Verdana" w:hAnsi="Verdana"/>
          <w:bCs/>
          <w:sz w:val="20"/>
        </w:rPr>
        <w:t> los aranceles de la Tarifa de la Ley de los Impuestos Generales de Importación y de Exportación, publicada en el Diario Oficial de la Federación el 18 de junio de 2007 y sus modificaciones posteriores, únicamente en lo que se refiere a las siguientes fracciones arancelarias: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03"/>
        <w:gridCol w:w="4590"/>
        <w:gridCol w:w="1069"/>
        <w:gridCol w:w="1169"/>
        <w:gridCol w:w="730"/>
      </w:tblGrid>
      <w:tr w:rsidR="00C40232" w:rsidRPr="00C40232" w:rsidTr="00C40232">
        <w:trPr>
          <w:trHeight w:val="243"/>
        </w:trPr>
        <w:tc>
          <w:tcPr>
            <w:tcW w:w="11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C40232" w:rsidRPr="00C40232" w:rsidRDefault="00C40232" w:rsidP="00C40232">
            <w:pPr>
              <w:jc w:val="both"/>
              <w:rPr>
                <w:rFonts w:ascii="Verdana" w:hAnsi="Verdana"/>
                <w:bCs/>
                <w:sz w:val="20"/>
              </w:rPr>
            </w:pPr>
            <w:r w:rsidRPr="00C40232">
              <w:rPr>
                <w:rFonts w:ascii="Verdana" w:hAnsi="Verdana"/>
                <w:b/>
                <w:bCs/>
                <w:sz w:val="20"/>
              </w:rPr>
              <w:t>CÓDIGO</w:t>
            </w:r>
          </w:p>
        </w:tc>
        <w:tc>
          <w:tcPr>
            <w:tcW w:w="45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C40232" w:rsidRPr="00C40232" w:rsidRDefault="00C40232" w:rsidP="00C40232">
            <w:pPr>
              <w:jc w:val="both"/>
              <w:rPr>
                <w:rFonts w:ascii="Verdana" w:hAnsi="Verdana"/>
                <w:bCs/>
                <w:sz w:val="20"/>
              </w:rPr>
            </w:pPr>
            <w:r w:rsidRPr="00C40232">
              <w:rPr>
                <w:rFonts w:ascii="Verdana" w:hAnsi="Verdana"/>
                <w:b/>
                <w:bCs/>
                <w:sz w:val="20"/>
              </w:rPr>
              <w:t>DESCRIPCIÓN</w:t>
            </w:r>
          </w:p>
        </w:tc>
        <w:tc>
          <w:tcPr>
            <w:tcW w:w="103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C40232" w:rsidRPr="00C40232" w:rsidRDefault="00C40232" w:rsidP="00C40232">
            <w:pPr>
              <w:jc w:val="both"/>
              <w:rPr>
                <w:rFonts w:ascii="Verdana" w:hAnsi="Verdana"/>
                <w:bCs/>
                <w:sz w:val="20"/>
              </w:rPr>
            </w:pPr>
            <w:r w:rsidRPr="00C40232">
              <w:rPr>
                <w:rFonts w:ascii="Verdana" w:hAnsi="Verdana"/>
                <w:b/>
                <w:bCs/>
                <w:sz w:val="20"/>
              </w:rPr>
              <w:t>UNIDAD</w:t>
            </w:r>
          </w:p>
        </w:tc>
        <w:tc>
          <w:tcPr>
            <w:tcW w:w="18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C40232" w:rsidRPr="00C40232" w:rsidRDefault="00C40232" w:rsidP="00C40232">
            <w:pPr>
              <w:jc w:val="both"/>
              <w:rPr>
                <w:rFonts w:ascii="Verdana" w:hAnsi="Verdana"/>
                <w:bCs/>
                <w:sz w:val="20"/>
              </w:rPr>
            </w:pPr>
            <w:r w:rsidRPr="00C40232">
              <w:rPr>
                <w:rFonts w:ascii="Verdana" w:hAnsi="Verdana"/>
                <w:b/>
                <w:bCs/>
                <w:sz w:val="20"/>
              </w:rPr>
              <w:t>IMPUESTO</w:t>
            </w:r>
          </w:p>
        </w:tc>
      </w:tr>
      <w:tr w:rsidR="00C40232" w:rsidRPr="00C40232" w:rsidTr="00C40232">
        <w:trPr>
          <w:trHeight w:val="238"/>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232" w:rsidRPr="00C40232" w:rsidRDefault="00C40232" w:rsidP="00C40232">
            <w:pPr>
              <w:jc w:val="both"/>
              <w:rPr>
                <w:rFonts w:ascii="Verdana" w:hAnsi="Verdana"/>
                <w:bCs/>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232" w:rsidRPr="00C40232" w:rsidRDefault="00C40232" w:rsidP="00C40232">
            <w:pPr>
              <w:jc w:val="both"/>
              <w:rPr>
                <w:rFonts w:ascii="Verdana" w:hAnsi="Verdana"/>
                <w:bCs/>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40232" w:rsidRPr="00C40232" w:rsidRDefault="00C40232" w:rsidP="00C40232">
            <w:pPr>
              <w:jc w:val="both"/>
              <w:rPr>
                <w:rFonts w:ascii="Verdana" w:hAnsi="Verdana"/>
                <w:bCs/>
                <w:sz w:val="20"/>
              </w:rPr>
            </w:pP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C40232" w:rsidRPr="00C40232" w:rsidRDefault="00C40232" w:rsidP="00C40232">
            <w:pPr>
              <w:jc w:val="both"/>
              <w:rPr>
                <w:rFonts w:ascii="Verdana" w:hAnsi="Verdana"/>
                <w:bCs/>
                <w:sz w:val="20"/>
              </w:rPr>
            </w:pPr>
            <w:r w:rsidRPr="00C40232">
              <w:rPr>
                <w:rFonts w:ascii="Verdana" w:hAnsi="Verdana"/>
                <w:b/>
                <w:bCs/>
                <w:sz w:val="20"/>
              </w:rPr>
              <w:t>IMP</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C40232" w:rsidRPr="00C40232" w:rsidRDefault="00C40232" w:rsidP="00C40232">
            <w:pPr>
              <w:jc w:val="both"/>
              <w:rPr>
                <w:rFonts w:ascii="Verdana" w:hAnsi="Verdana"/>
                <w:bCs/>
                <w:sz w:val="20"/>
              </w:rPr>
            </w:pPr>
            <w:r w:rsidRPr="00C40232">
              <w:rPr>
                <w:rFonts w:ascii="Verdana" w:hAnsi="Verdana"/>
                <w:b/>
                <w:bCs/>
                <w:sz w:val="20"/>
              </w:rPr>
              <w:t>EXP</w:t>
            </w:r>
          </w:p>
        </w:tc>
      </w:tr>
      <w:tr w:rsidR="00C40232" w:rsidRPr="00C40232" w:rsidTr="00C40232">
        <w:trPr>
          <w:trHeight w:val="238"/>
        </w:trPr>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C40232" w:rsidRPr="00C40232" w:rsidRDefault="00C40232" w:rsidP="00C40232">
            <w:pPr>
              <w:jc w:val="both"/>
              <w:rPr>
                <w:rFonts w:ascii="Verdana" w:hAnsi="Verdana"/>
                <w:bCs/>
                <w:sz w:val="20"/>
              </w:rPr>
            </w:pPr>
            <w:r w:rsidRPr="00C40232">
              <w:rPr>
                <w:rFonts w:ascii="Verdana" w:hAnsi="Verdana"/>
                <w:bCs/>
                <w:sz w:val="20"/>
              </w:rPr>
              <w:t>7207.12.01</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C40232" w:rsidRPr="00C40232" w:rsidRDefault="00C40232" w:rsidP="00C40232">
            <w:pPr>
              <w:jc w:val="both"/>
              <w:rPr>
                <w:rFonts w:ascii="Verdana" w:hAnsi="Verdana"/>
                <w:bCs/>
                <w:sz w:val="20"/>
              </w:rPr>
            </w:pPr>
            <w:r w:rsidRPr="00C40232">
              <w:rPr>
                <w:rFonts w:ascii="Verdana" w:hAnsi="Verdana"/>
                <w:bCs/>
                <w:sz w:val="20"/>
              </w:rPr>
              <w:t xml:space="preserve">Con espesor inferior o igual a 185 </w:t>
            </w:r>
            <w:proofErr w:type="spellStart"/>
            <w:r w:rsidRPr="00C40232">
              <w:rPr>
                <w:rFonts w:ascii="Verdana" w:hAnsi="Verdana"/>
                <w:bCs/>
                <w:sz w:val="20"/>
              </w:rPr>
              <w:t>mm.</w:t>
            </w:r>
            <w:proofErr w:type="spellEnd"/>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C40232" w:rsidRPr="00C40232" w:rsidRDefault="00C40232" w:rsidP="00C40232">
            <w:pPr>
              <w:jc w:val="both"/>
              <w:rPr>
                <w:rFonts w:ascii="Verdana" w:hAnsi="Verdana"/>
                <w:bCs/>
                <w:sz w:val="20"/>
              </w:rPr>
            </w:pPr>
            <w:r w:rsidRPr="00C40232">
              <w:rPr>
                <w:rFonts w:ascii="Verdana" w:hAnsi="Verdana"/>
                <w:bCs/>
                <w:sz w:val="20"/>
              </w:rPr>
              <w:t>Kg</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C40232" w:rsidRPr="00C40232" w:rsidRDefault="00C40232" w:rsidP="00C40232">
            <w:pPr>
              <w:jc w:val="both"/>
              <w:rPr>
                <w:rFonts w:ascii="Verdana" w:hAnsi="Verdana"/>
                <w:bCs/>
                <w:sz w:val="20"/>
              </w:rPr>
            </w:pPr>
            <w:r w:rsidRPr="00C40232">
              <w:rPr>
                <w:rFonts w:ascii="Verdana" w:hAnsi="Verdana"/>
                <w:bCs/>
                <w:sz w:val="20"/>
              </w:rPr>
              <w:t>15</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C40232" w:rsidRPr="00C40232" w:rsidRDefault="00C40232" w:rsidP="00C40232">
            <w:pPr>
              <w:jc w:val="both"/>
              <w:rPr>
                <w:rFonts w:ascii="Verdana" w:hAnsi="Verdana"/>
                <w:bCs/>
                <w:sz w:val="20"/>
              </w:rPr>
            </w:pPr>
            <w:r w:rsidRPr="00C40232">
              <w:rPr>
                <w:rFonts w:ascii="Verdana" w:hAnsi="Verdana"/>
                <w:bCs/>
                <w:sz w:val="20"/>
              </w:rPr>
              <w:t>Ex.</w:t>
            </w:r>
          </w:p>
        </w:tc>
      </w:tr>
      <w:tr w:rsidR="00C40232" w:rsidRPr="00C40232" w:rsidTr="00C40232">
        <w:trPr>
          <w:trHeight w:val="238"/>
        </w:trPr>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C40232" w:rsidRPr="00C40232" w:rsidRDefault="00C40232" w:rsidP="00C40232">
            <w:pPr>
              <w:jc w:val="both"/>
              <w:rPr>
                <w:rFonts w:ascii="Verdana" w:hAnsi="Verdana"/>
                <w:bCs/>
                <w:sz w:val="20"/>
              </w:rPr>
            </w:pPr>
            <w:r w:rsidRPr="00C40232">
              <w:rPr>
                <w:rFonts w:ascii="Verdana" w:hAnsi="Verdana"/>
                <w:bCs/>
                <w:sz w:val="20"/>
              </w:rPr>
              <w:t>7207.12.99</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C40232" w:rsidRPr="00C40232" w:rsidRDefault="00C40232" w:rsidP="00C40232">
            <w:pPr>
              <w:jc w:val="both"/>
              <w:rPr>
                <w:rFonts w:ascii="Verdana" w:hAnsi="Verdana"/>
                <w:bCs/>
                <w:sz w:val="20"/>
              </w:rPr>
            </w:pPr>
            <w:r w:rsidRPr="00C40232">
              <w:rPr>
                <w:rFonts w:ascii="Verdana" w:hAnsi="Verdana"/>
                <w:bCs/>
                <w:sz w:val="20"/>
              </w:rPr>
              <w:t>Los demás.</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C40232" w:rsidRPr="00C40232" w:rsidRDefault="00C40232" w:rsidP="00C40232">
            <w:pPr>
              <w:jc w:val="both"/>
              <w:rPr>
                <w:rFonts w:ascii="Verdana" w:hAnsi="Verdana"/>
                <w:bCs/>
                <w:sz w:val="20"/>
              </w:rPr>
            </w:pPr>
            <w:r w:rsidRPr="00C40232">
              <w:rPr>
                <w:rFonts w:ascii="Verdana" w:hAnsi="Verdana"/>
                <w:bCs/>
                <w:sz w:val="20"/>
              </w:rPr>
              <w:t>Kg</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C40232" w:rsidRPr="00C40232" w:rsidRDefault="00C40232" w:rsidP="00C40232">
            <w:pPr>
              <w:jc w:val="both"/>
              <w:rPr>
                <w:rFonts w:ascii="Verdana" w:hAnsi="Verdana"/>
                <w:bCs/>
                <w:sz w:val="20"/>
              </w:rPr>
            </w:pPr>
            <w:r w:rsidRPr="00C40232">
              <w:rPr>
                <w:rFonts w:ascii="Verdana" w:hAnsi="Verdana"/>
                <w:bCs/>
                <w:sz w:val="20"/>
              </w:rPr>
              <w:t>15</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C40232" w:rsidRPr="00C40232" w:rsidRDefault="00C40232" w:rsidP="00C40232">
            <w:pPr>
              <w:jc w:val="both"/>
              <w:rPr>
                <w:rFonts w:ascii="Verdana" w:hAnsi="Verdana"/>
                <w:bCs/>
                <w:sz w:val="20"/>
              </w:rPr>
            </w:pPr>
            <w:r w:rsidRPr="00C40232">
              <w:rPr>
                <w:rFonts w:ascii="Verdana" w:hAnsi="Verdana"/>
                <w:bCs/>
                <w:sz w:val="20"/>
              </w:rPr>
              <w:t>Ex.</w:t>
            </w:r>
          </w:p>
        </w:tc>
      </w:tr>
      <w:tr w:rsidR="00C40232" w:rsidRPr="00C40232" w:rsidTr="00C40232">
        <w:trPr>
          <w:trHeight w:val="619"/>
        </w:trPr>
        <w:tc>
          <w:tcPr>
            <w:tcW w:w="1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C40232" w:rsidRPr="00C40232" w:rsidRDefault="00C40232" w:rsidP="00C40232">
            <w:pPr>
              <w:jc w:val="both"/>
              <w:rPr>
                <w:rFonts w:ascii="Verdana" w:hAnsi="Verdana"/>
                <w:bCs/>
                <w:sz w:val="20"/>
              </w:rPr>
            </w:pPr>
            <w:r w:rsidRPr="00C40232">
              <w:rPr>
                <w:rFonts w:ascii="Verdana" w:hAnsi="Verdana"/>
                <w:bCs/>
                <w:sz w:val="20"/>
              </w:rPr>
              <w:t>7224.90.02</w:t>
            </w:r>
          </w:p>
        </w:tc>
        <w:tc>
          <w:tcPr>
            <w:tcW w:w="4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C40232" w:rsidRPr="00C40232" w:rsidRDefault="00C40232" w:rsidP="00C40232">
            <w:pPr>
              <w:jc w:val="both"/>
              <w:rPr>
                <w:rFonts w:ascii="Verdana" w:hAnsi="Verdana"/>
                <w:bCs/>
                <w:sz w:val="20"/>
              </w:rPr>
            </w:pPr>
            <w:r w:rsidRPr="00C40232">
              <w:rPr>
                <w:rFonts w:ascii="Verdana" w:hAnsi="Verdana"/>
                <w:bCs/>
                <w:sz w:val="20"/>
              </w:rPr>
              <w:t>Productos intermedios, con un contenido de carbono inferior o igual a 0.006% en peso, excepto lo comprendido en la fracción 7224.90.03.</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C40232" w:rsidRPr="00C40232" w:rsidRDefault="00C40232" w:rsidP="00C40232">
            <w:pPr>
              <w:jc w:val="both"/>
              <w:rPr>
                <w:rFonts w:ascii="Verdana" w:hAnsi="Verdana"/>
                <w:bCs/>
                <w:sz w:val="20"/>
              </w:rPr>
            </w:pPr>
            <w:r w:rsidRPr="00C40232">
              <w:rPr>
                <w:rFonts w:ascii="Verdana" w:hAnsi="Verdana"/>
                <w:bCs/>
                <w:sz w:val="20"/>
              </w:rPr>
              <w:t>Kg</w:t>
            </w:r>
          </w:p>
        </w:tc>
        <w:tc>
          <w:tcPr>
            <w:tcW w:w="1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C40232" w:rsidRPr="00C40232" w:rsidRDefault="00C40232" w:rsidP="00C40232">
            <w:pPr>
              <w:jc w:val="both"/>
              <w:rPr>
                <w:rFonts w:ascii="Verdana" w:hAnsi="Verdana"/>
                <w:bCs/>
                <w:sz w:val="20"/>
              </w:rPr>
            </w:pPr>
            <w:r w:rsidRPr="00C40232">
              <w:rPr>
                <w:rFonts w:ascii="Verdana" w:hAnsi="Verdana"/>
                <w:bCs/>
                <w:sz w:val="20"/>
              </w:rPr>
              <w:t>15</w:t>
            </w:r>
          </w:p>
        </w:tc>
        <w:tc>
          <w:tcPr>
            <w:tcW w:w="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C40232" w:rsidRPr="00C40232" w:rsidRDefault="00C40232" w:rsidP="00C40232">
            <w:pPr>
              <w:jc w:val="both"/>
              <w:rPr>
                <w:rFonts w:ascii="Verdana" w:hAnsi="Verdana"/>
                <w:bCs/>
                <w:sz w:val="20"/>
              </w:rPr>
            </w:pPr>
            <w:r w:rsidRPr="00C40232">
              <w:rPr>
                <w:rFonts w:ascii="Verdana" w:hAnsi="Verdana"/>
                <w:bCs/>
                <w:sz w:val="20"/>
              </w:rPr>
              <w:t>Ex.</w:t>
            </w:r>
          </w:p>
        </w:tc>
      </w:tr>
    </w:tbl>
    <w:p w:rsidR="00C40232" w:rsidRPr="00C40232" w:rsidRDefault="00C40232" w:rsidP="00C40232">
      <w:pPr>
        <w:jc w:val="both"/>
        <w:rPr>
          <w:rFonts w:ascii="Verdana" w:hAnsi="Verdana"/>
          <w:bCs/>
          <w:sz w:val="20"/>
        </w:rPr>
      </w:pPr>
      <w:r w:rsidRPr="00C40232">
        <w:rPr>
          <w:rFonts w:ascii="Verdana" w:hAnsi="Verdana"/>
          <w:bCs/>
          <w:sz w:val="20"/>
        </w:rPr>
        <w:t> </w:t>
      </w:r>
    </w:p>
    <w:p w:rsidR="00C40232" w:rsidRPr="00C40232" w:rsidRDefault="00C40232" w:rsidP="00C40232">
      <w:pPr>
        <w:jc w:val="both"/>
        <w:rPr>
          <w:rFonts w:ascii="Verdana" w:hAnsi="Verdana"/>
          <w:b/>
          <w:bCs/>
          <w:sz w:val="20"/>
        </w:rPr>
      </w:pPr>
      <w:r w:rsidRPr="00C40232">
        <w:rPr>
          <w:rFonts w:ascii="Verdana" w:hAnsi="Verdana"/>
          <w:b/>
          <w:bCs/>
          <w:sz w:val="20"/>
        </w:rPr>
        <w:t>TRANSITORIO</w:t>
      </w:r>
    </w:p>
    <w:p w:rsidR="00C40232" w:rsidRPr="00C40232" w:rsidRDefault="00C40232" w:rsidP="00C40232">
      <w:pPr>
        <w:jc w:val="both"/>
        <w:rPr>
          <w:rFonts w:ascii="Verdana" w:hAnsi="Verdana"/>
          <w:bCs/>
          <w:sz w:val="20"/>
        </w:rPr>
      </w:pPr>
      <w:r w:rsidRPr="00C40232">
        <w:rPr>
          <w:rFonts w:ascii="Verdana" w:hAnsi="Verdana"/>
          <w:b/>
          <w:bCs/>
          <w:sz w:val="20"/>
        </w:rPr>
        <w:t>ÚNICO.-</w:t>
      </w:r>
      <w:r w:rsidRPr="00C40232">
        <w:rPr>
          <w:rFonts w:ascii="Verdana" w:hAnsi="Verdana"/>
          <w:bCs/>
          <w:sz w:val="20"/>
        </w:rPr>
        <w:t> El presente Decreto entrará en vigor el día siguiente al de su publicación en el Diario Oficial de la Federación y su vigencia concluirá a los 180 días naturales contados a partir de su entrada en vigor.</w:t>
      </w:r>
    </w:p>
    <w:p w:rsidR="00C40232" w:rsidRPr="00C40232" w:rsidRDefault="00C40232" w:rsidP="00C40232">
      <w:pPr>
        <w:jc w:val="both"/>
        <w:rPr>
          <w:rFonts w:ascii="Verdana" w:hAnsi="Verdana"/>
          <w:bCs/>
          <w:sz w:val="20"/>
        </w:rPr>
      </w:pPr>
      <w:r w:rsidRPr="00C40232">
        <w:rPr>
          <w:rFonts w:ascii="Verdana" w:hAnsi="Verdana"/>
          <w:bCs/>
          <w:sz w:val="20"/>
        </w:rPr>
        <w:lastRenderedPageBreak/>
        <w:t>Dado en la residencia del Poder Ejecutivo Federal, en la Ciudad de México, a 14 de octubre de 2019.- </w:t>
      </w:r>
      <w:r w:rsidRPr="00C40232">
        <w:rPr>
          <w:rFonts w:ascii="Verdana" w:hAnsi="Verdana"/>
          <w:b/>
          <w:bCs/>
          <w:sz w:val="20"/>
        </w:rPr>
        <w:t>Andrés Manuel López Obrador</w:t>
      </w:r>
      <w:r w:rsidRPr="00C40232">
        <w:rPr>
          <w:rFonts w:ascii="Verdana" w:hAnsi="Verdana"/>
          <w:bCs/>
          <w:sz w:val="20"/>
        </w:rPr>
        <w:t>.- Rúbrica.- El Secretario de Hacienda y Crédito Público, </w:t>
      </w:r>
      <w:r w:rsidRPr="00C40232">
        <w:rPr>
          <w:rFonts w:ascii="Verdana" w:hAnsi="Verdana"/>
          <w:b/>
          <w:bCs/>
          <w:sz w:val="20"/>
        </w:rPr>
        <w:t>Arturo Herrera Gutiérrez</w:t>
      </w:r>
      <w:r w:rsidRPr="00C40232">
        <w:rPr>
          <w:rFonts w:ascii="Verdana" w:hAnsi="Verdana"/>
          <w:bCs/>
          <w:sz w:val="20"/>
        </w:rPr>
        <w:t>.- Rúbrica.- La Secretaria de Economía, </w:t>
      </w:r>
      <w:r w:rsidRPr="00C40232">
        <w:rPr>
          <w:rFonts w:ascii="Verdana" w:hAnsi="Verdana"/>
          <w:b/>
          <w:bCs/>
          <w:sz w:val="20"/>
        </w:rPr>
        <w:t>Graciela Márquez Colín</w:t>
      </w:r>
      <w:r w:rsidRPr="00C40232">
        <w:rPr>
          <w:rFonts w:ascii="Verdana" w:hAnsi="Verdana"/>
          <w:bCs/>
          <w:sz w:val="20"/>
        </w:rPr>
        <w:t>.- Rúbrica.</w:t>
      </w:r>
    </w:p>
    <w:p w:rsidR="00C40232" w:rsidRPr="00C40232" w:rsidRDefault="00C40232" w:rsidP="00C40232">
      <w:pPr>
        <w:jc w:val="both"/>
        <w:rPr>
          <w:rFonts w:ascii="Verdana" w:hAnsi="Verdana"/>
          <w:bCs/>
          <w:sz w:val="20"/>
        </w:rPr>
      </w:pPr>
      <w:bookmarkStart w:id="0" w:name="_GoBack"/>
      <w:bookmarkEnd w:id="0"/>
    </w:p>
    <w:p w:rsidR="00BF3AEB" w:rsidRDefault="00C40232"/>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32"/>
    <w:rsid w:val="002228FA"/>
    <w:rsid w:val="00C06CE1"/>
    <w:rsid w:val="00C402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87984">
      <w:bodyDiv w:val="1"/>
      <w:marLeft w:val="0"/>
      <w:marRight w:val="0"/>
      <w:marTop w:val="0"/>
      <w:marBottom w:val="0"/>
      <w:divBdr>
        <w:top w:val="none" w:sz="0" w:space="0" w:color="auto"/>
        <w:left w:val="none" w:sz="0" w:space="0" w:color="auto"/>
        <w:bottom w:val="none" w:sz="0" w:space="0" w:color="auto"/>
        <w:right w:val="none" w:sz="0" w:space="0" w:color="auto"/>
      </w:divBdr>
    </w:div>
    <w:div w:id="920024125">
      <w:bodyDiv w:val="1"/>
      <w:marLeft w:val="0"/>
      <w:marRight w:val="0"/>
      <w:marTop w:val="0"/>
      <w:marBottom w:val="0"/>
      <w:divBdr>
        <w:top w:val="none" w:sz="0" w:space="0" w:color="auto"/>
        <w:left w:val="none" w:sz="0" w:space="0" w:color="auto"/>
        <w:bottom w:val="none" w:sz="0" w:space="0" w:color="auto"/>
        <w:right w:val="none" w:sz="0" w:space="0" w:color="auto"/>
      </w:divBdr>
    </w:div>
    <w:div w:id="1759211566">
      <w:bodyDiv w:val="1"/>
      <w:marLeft w:val="0"/>
      <w:marRight w:val="0"/>
      <w:marTop w:val="0"/>
      <w:marBottom w:val="0"/>
      <w:divBdr>
        <w:top w:val="none" w:sz="0" w:space="0" w:color="auto"/>
        <w:left w:val="none" w:sz="0" w:space="0" w:color="auto"/>
        <w:bottom w:val="none" w:sz="0" w:space="0" w:color="auto"/>
        <w:right w:val="none" w:sz="0" w:space="0" w:color="auto"/>
      </w:divBdr>
      <w:divsChild>
        <w:div w:id="472645957">
          <w:marLeft w:val="0"/>
          <w:marRight w:val="0"/>
          <w:marTop w:val="0"/>
          <w:marBottom w:val="20"/>
          <w:divBdr>
            <w:top w:val="none" w:sz="0" w:space="0" w:color="auto"/>
            <w:left w:val="none" w:sz="0" w:space="0" w:color="auto"/>
            <w:bottom w:val="none" w:sz="0" w:space="0" w:color="auto"/>
            <w:right w:val="none" w:sz="0" w:space="0" w:color="auto"/>
          </w:divBdr>
        </w:div>
        <w:div w:id="940800032">
          <w:marLeft w:val="0"/>
          <w:marRight w:val="0"/>
          <w:marTop w:val="0"/>
          <w:marBottom w:val="20"/>
          <w:divBdr>
            <w:top w:val="none" w:sz="0" w:space="0" w:color="auto"/>
            <w:left w:val="none" w:sz="0" w:space="0" w:color="auto"/>
            <w:bottom w:val="none" w:sz="0" w:space="0" w:color="auto"/>
            <w:right w:val="none" w:sz="0" w:space="0" w:color="auto"/>
          </w:divBdr>
        </w:div>
        <w:div w:id="313611434">
          <w:marLeft w:val="0"/>
          <w:marRight w:val="0"/>
          <w:marTop w:val="0"/>
          <w:marBottom w:val="20"/>
          <w:divBdr>
            <w:top w:val="none" w:sz="0" w:space="0" w:color="auto"/>
            <w:left w:val="none" w:sz="0" w:space="0" w:color="auto"/>
            <w:bottom w:val="none" w:sz="0" w:space="0" w:color="auto"/>
            <w:right w:val="none" w:sz="0" w:space="0" w:color="auto"/>
          </w:divBdr>
        </w:div>
        <w:div w:id="821114872">
          <w:marLeft w:val="0"/>
          <w:marRight w:val="0"/>
          <w:marTop w:val="0"/>
          <w:marBottom w:val="20"/>
          <w:divBdr>
            <w:top w:val="none" w:sz="0" w:space="0" w:color="auto"/>
            <w:left w:val="none" w:sz="0" w:space="0" w:color="auto"/>
            <w:bottom w:val="none" w:sz="0" w:space="0" w:color="auto"/>
            <w:right w:val="none" w:sz="0" w:space="0" w:color="auto"/>
          </w:divBdr>
        </w:div>
        <w:div w:id="1299720810">
          <w:marLeft w:val="0"/>
          <w:marRight w:val="0"/>
          <w:marTop w:val="0"/>
          <w:marBottom w:val="20"/>
          <w:divBdr>
            <w:top w:val="none" w:sz="0" w:space="0" w:color="auto"/>
            <w:left w:val="none" w:sz="0" w:space="0" w:color="auto"/>
            <w:bottom w:val="none" w:sz="0" w:space="0" w:color="auto"/>
            <w:right w:val="none" w:sz="0" w:space="0" w:color="auto"/>
          </w:divBdr>
        </w:div>
        <w:div w:id="688873786">
          <w:marLeft w:val="0"/>
          <w:marRight w:val="0"/>
          <w:marTop w:val="0"/>
          <w:marBottom w:val="20"/>
          <w:divBdr>
            <w:top w:val="none" w:sz="0" w:space="0" w:color="auto"/>
            <w:left w:val="none" w:sz="0" w:space="0" w:color="auto"/>
            <w:bottom w:val="none" w:sz="0" w:space="0" w:color="auto"/>
            <w:right w:val="none" w:sz="0" w:space="0" w:color="auto"/>
          </w:divBdr>
        </w:div>
        <w:div w:id="123085857">
          <w:marLeft w:val="0"/>
          <w:marRight w:val="0"/>
          <w:marTop w:val="0"/>
          <w:marBottom w:val="20"/>
          <w:divBdr>
            <w:top w:val="none" w:sz="0" w:space="0" w:color="auto"/>
            <w:left w:val="none" w:sz="0" w:space="0" w:color="auto"/>
            <w:bottom w:val="none" w:sz="0" w:space="0" w:color="auto"/>
            <w:right w:val="none" w:sz="0" w:space="0" w:color="auto"/>
          </w:divBdr>
        </w:div>
        <w:div w:id="593130002">
          <w:marLeft w:val="0"/>
          <w:marRight w:val="0"/>
          <w:marTop w:val="0"/>
          <w:marBottom w:val="20"/>
          <w:divBdr>
            <w:top w:val="none" w:sz="0" w:space="0" w:color="auto"/>
            <w:left w:val="none" w:sz="0" w:space="0" w:color="auto"/>
            <w:bottom w:val="none" w:sz="0" w:space="0" w:color="auto"/>
            <w:right w:val="none" w:sz="0" w:space="0" w:color="auto"/>
          </w:divBdr>
        </w:div>
        <w:div w:id="1485655882">
          <w:marLeft w:val="0"/>
          <w:marRight w:val="0"/>
          <w:marTop w:val="0"/>
          <w:marBottom w:val="20"/>
          <w:divBdr>
            <w:top w:val="none" w:sz="0" w:space="0" w:color="auto"/>
            <w:left w:val="none" w:sz="0" w:space="0" w:color="auto"/>
            <w:bottom w:val="none" w:sz="0" w:space="0" w:color="auto"/>
            <w:right w:val="none" w:sz="0" w:space="0" w:color="auto"/>
          </w:divBdr>
        </w:div>
        <w:div w:id="1580021344">
          <w:marLeft w:val="0"/>
          <w:marRight w:val="0"/>
          <w:marTop w:val="0"/>
          <w:marBottom w:val="20"/>
          <w:divBdr>
            <w:top w:val="none" w:sz="0" w:space="0" w:color="auto"/>
            <w:left w:val="none" w:sz="0" w:space="0" w:color="auto"/>
            <w:bottom w:val="none" w:sz="0" w:space="0" w:color="auto"/>
            <w:right w:val="none" w:sz="0" w:space="0" w:color="auto"/>
          </w:divBdr>
        </w:div>
        <w:div w:id="620574601">
          <w:marLeft w:val="0"/>
          <w:marRight w:val="0"/>
          <w:marTop w:val="0"/>
          <w:marBottom w:val="20"/>
          <w:divBdr>
            <w:top w:val="none" w:sz="0" w:space="0" w:color="auto"/>
            <w:left w:val="none" w:sz="0" w:space="0" w:color="auto"/>
            <w:bottom w:val="none" w:sz="0" w:space="0" w:color="auto"/>
            <w:right w:val="none" w:sz="0" w:space="0" w:color="auto"/>
          </w:divBdr>
        </w:div>
        <w:div w:id="373622437">
          <w:marLeft w:val="0"/>
          <w:marRight w:val="0"/>
          <w:marTop w:val="0"/>
          <w:marBottom w:val="20"/>
          <w:divBdr>
            <w:top w:val="none" w:sz="0" w:space="0" w:color="auto"/>
            <w:left w:val="none" w:sz="0" w:space="0" w:color="auto"/>
            <w:bottom w:val="none" w:sz="0" w:space="0" w:color="auto"/>
            <w:right w:val="none" w:sz="0" w:space="0" w:color="auto"/>
          </w:divBdr>
        </w:div>
        <w:div w:id="1923025429">
          <w:marLeft w:val="0"/>
          <w:marRight w:val="0"/>
          <w:marTop w:val="0"/>
          <w:marBottom w:val="20"/>
          <w:divBdr>
            <w:top w:val="none" w:sz="0" w:space="0" w:color="auto"/>
            <w:left w:val="none" w:sz="0" w:space="0" w:color="auto"/>
            <w:bottom w:val="none" w:sz="0" w:space="0" w:color="auto"/>
            <w:right w:val="none" w:sz="0" w:space="0" w:color="auto"/>
          </w:divBdr>
        </w:div>
        <w:div w:id="1280722432">
          <w:marLeft w:val="0"/>
          <w:marRight w:val="0"/>
          <w:marTop w:val="20"/>
          <w:marBottom w:val="20"/>
          <w:divBdr>
            <w:top w:val="none" w:sz="0" w:space="0" w:color="auto"/>
            <w:left w:val="none" w:sz="0" w:space="0" w:color="auto"/>
            <w:bottom w:val="none" w:sz="0" w:space="0" w:color="auto"/>
            <w:right w:val="none" w:sz="0" w:space="0" w:color="auto"/>
          </w:divBdr>
        </w:div>
        <w:div w:id="370420510">
          <w:marLeft w:val="0"/>
          <w:marRight w:val="0"/>
          <w:marTop w:val="20"/>
          <w:marBottom w:val="20"/>
          <w:divBdr>
            <w:top w:val="none" w:sz="0" w:space="0" w:color="auto"/>
            <w:left w:val="none" w:sz="0" w:space="0" w:color="auto"/>
            <w:bottom w:val="none" w:sz="0" w:space="0" w:color="auto"/>
            <w:right w:val="none" w:sz="0" w:space="0" w:color="auto"/>
          </w:divBdr>
        </w:div>
        <w:div w:id="1163011194">
          <w:marLeft w:val="0"/>
          <w:marRight w:val="0"/>
          <w:marTop w:val="20"/>
          <w:marBottom w:val="20"/>
          <w:divBdr>
            <w:top w:val="none" w:sz="0" w:space="0" w:color="auto"/>
            <w:left w:val="none" w:sz="0" w:space="0" w:color="auto"/>
            <w:bottom w:val="none" w:sz="0" w:space="0" w:color="auto"/>
            <w:right w:val="none" w:sz="0" w:space="0" w:color="auto"/>
          </w:divBdr>
        </w:div>
        <w:div w:id="1865900934">
          <w:marLeft w:val="0"/>
          <w:marRight w:val="0"/>
          <w:marTop w:val="20"/>
          <w:marBottom w:val="20"/>
          <w:divBdr>
            <w:top w:val="none" w:sz="0" w:space="0" w:color="auto"/>
            <w:left w:val="none" w:sz="0" w:space="0" w:color="auto"/>
            <w:bottom w:val="none" w:sz="0" w:space="0" w:color="auto"/>
            <w:right w:val="none" w:sz="0" w:space="0" w:color="auto"/>
          </w:divBdr>
        </w:div>
        <w:div w:id="754521769">
          <w:marLeft w:val="0"/>
          <w:marRight w:val="0"/>
          <w:marTop w:val="20"/>
          <w:marBottom w:val="20"/>
          <w:divBdr>
            <w:top w:val="none" w:sz="0" w:space="0" w:color="auto"/>
            <w:left w:val="none" w:sz="0" w:space="0" w:color="auto"/>
            <w:bottom w:val="none" w:sz="0" w:space="0" w:color="auto"/>
            <w:right w:val="none" w:sz="0" w:space="0" w:color="auto"/>
          </w:divBdr>
        </w:div>
        <w:div w:id="1341200368">
          <w:marLeft w:val="0"/>
          <w:marRight w:val="0"/>
          <w:marTop w:val="20"/>
          <w:marBottom w:val="20"/>
          <w:divBdr>
            <w:top w:val="none" w:sz="0" w:space="0" w:color="auto"/>
            <w:left w:val="none" w:sz="0" w:space="0" w:color="auto"/>
            <w:bottom w:val="none" w:sz="0" w:space="0" w:color="auto"/>
            <w:right w:val="none" w:sz="0" w:space="0" w:color="auto"/>
          </w:divBdr>
        </w:div>
        <w:div w:id="1563053461">
          <w:marLeft w:val="0"/>
          <w:marRight w:val="0"/>
          <w:marTop w:val="20"/>
          <w:marBottom w:val="20"/>
          <w:divBdr>
            <w:top w:val="none" w:sz="0" w:space="0" w:color="auto"/>
            <w:left w:val="none" w:sz="0" w:space="0" w:color="auto"/>
            <w:bottom w:val="none" w:sz="0" w:space="0" w:color="auto"/>
            <w:right w:val="none" w:sz="0" w:space="0" w:color="auto"/>
          </w:divBdr>
        </w:div>
        <w:div w:id="1649019845">
          <w:marLeft w:val="0"/>
          <w:marRight w:val="0"/>
          <w:marTop w:val="20"/>
          <w:marBottom w:val="20"/>
          <w:divBdr>
            <w:top w:val="none" w:sz="0" w:space="0" w:color="auto"/>
            <w:left w:val="none" w:sz="0" w:space="0" w:color="auto"/>
            <w:bottom w:val="none" w:sz="0" w:space="0" w:color="auto"/>
            <w:right w:val="none" w:sz="0" w:space="0" w:color="auto"/>
          </w:divBdr>
        </w:div>
        <w:div w:id="155148398">
          <w:marLeft w:val="0"/>
          <w:marRight w:val="0"/>
          <w:marTop w:val="20"/>
          <w:marBottom w:val="20"/>
          <w:divBdr>
            <w:top w:val="none" w:sz="0" w:space="0" w:color="auto"/>
            <w:left w:val="none" w:sz="0" w:space="0" w:color="auto"/>
            <w:bottom w:val="none" w:sz="0" w:space="0" w:color="auto"/>
            <w:right w:val="none" w:sz="0" w:space="0" w:color="auto"/>
          </w:divBdr>
        </w:div>
        <w:div w:id="52584026">
          <w:marLeft w:val="0"/>
          <w:marRight w:val="0"/>
          <w:marTop w:val="20"/>
          <w:marBottom w:val="20"/>
          <w:divBdr>
            <w:top w:val="none" w:sz="0" w:space="0" w:color="auto"/>
            <w:left w:val="none" w:sz="0" w:space="0" w:color="auto"/>
            <w:bottom w:val="none" w:sz="0" w:space="0" w:color="auto"/>
            <w:right w:val="none" w:sz="0" w:space="0" w:color="auto"/>
          </w:divBdr>
        </w:div>
        <w:div w:id="1246259552">
          <w:marLeft w:val="0"/>
          <w:marRight w:val="0"/>
          <w:marTop w:val="20"/>
          <w:marBottom w:val="20"/>
          <w:divBdr>
            <w:top w:val="none" w:sz="0" w:space="0" w:color="auto"/>
            <w:left w:val="none" w:sz="0" w:space="0" w:color="auto"/>
            <w:bottom w:val="none" w:sz="0" w:space="0" w:color="auto"/>
            <w:right w:val="none" w:sz="0" w:space="0" w:color="auto"/>
          </w:divBdr>
        </w:div>
        <w:div w:id="953679960">
          <w:marLeft w:val="0"/>
          <w:marRight w:val="0"/>
          <w:marTop w:val="20"/>
          <w:marBottom w:val="20"/>
          <w:divBdr>
            <w:top w:val="none" w:sz="0" w:space="0" w:color="auto"/>
            <w:left w:val="none" w:sz="0" w:space="0" w:color="auto"/>
            <w:bottom w:val="none" w:sz="0" w:space="0" w:color="auto"/>
            <w:right w:val="none" w:sz="0" w:space="0" w:color="auto"/>
          </w:divBdr>
        </w:div>
        <w:div w:id="1224173160">
          <w:marLeft w:val="0"/>
          <w:marRight w:val="0"/>
          <w:marTop w:val="20"/>
          <w:marBottom w:val="20"/>
          <w:divBdr>
            <w:top w:val="none" w:sz="0" w:space="0" w:color="auto"/>
            <w:left w:val="none" w:sz="0" w:space="0" w:color="auto"/>
            <w:bottom w:val="none" w:sz="0" w:space="0" w:color="auto"/>
            <w:right w:val="none" w:sz="0" w:space="0" w:color="auto"/>
          </w:divBdr>
        </w:div>
        <w:div w:id="934167657">
          <w:marLeft w:val="0"/>
          <w:marRight w:val="0"/>
          <w:marTop w:val="20"/>
          <w:marBottom w:val="20"/>
          <w:divBdr>
            <w:top w:val="none" w:sz="0" w:space="0" w:color="auto"/>
            <w:left w:val="none" w:sz="0" w:space="0" w:color="auto"/>
            <w:bottom w:val="none" w:sz="0" w:space="0" w:color="auto"/>
            <w:right w:val="none" w:sz="0" w:space="0" w:color="auto"/>
          </w:divBdr>
        </w:div>
        <w:div w:id="309332557">
          <w:marLeft w:val="0"/>
          <w:marRight w:val="0"/>
          <w:marTop w:val="20"/>
          <w:marBottom w:val="20"/>
          <w:divBdr>
            <w:top w:val="none" w:sz="0" w:space="0" w:color="auto"/>
            <w:left w:val="none" w:sz="0" w:space="0" w:color="auto"/>
            <w:bottom w:val="none" w:sz="0" w:space="0" w:color="auto"/>
            <w:right w:val="none" w:sz="0" w:space="0" w:color="auto"/>
          </w:divBdr>
        </w:div>
        <w:div w:id="922910413">
          <w:marLeft w:val="0"/>
          <w:marRight w:val="0"/>
          <w:marTop w:val="20"/>
          <w:marBottom w:val="20"/>
          <w:divBdr>
            <w:top w:val="none" w:sz="0" w:space="0" w:color="auto"/>
            <w:left w:val="none" w:sz="0" w:space="0" w:color="auto"/>
            <w:bottom w:val="none" w:sz="0" w:space="0" w:color="auto"/>
            <w:right w:val="none" w:sz="0" w:space="0" w:color="auto"/>
          </w:divBdr>
        </w:div>
        <w:div w:id="1028456791">
          <w:marLeft w:val="0"/>
          <w:marRight w:val="0"/>
          <w:marTop w:val="20"/>
          <w:marBottom w:val="20"/>
          <w:divBdr>
            <w:top w:val="none" w:sz="0" w:space="0" w:color="auto"/>
            <w:left w:val="none" w:sz="0" w:space="0" w:color="auto"/>
            <w:bottom w:val="none" w:sz="0" w:space="0" w:color="auto"/>
            <w:right w:val="none" w:sz="0" w:space="0" w:color="auto"/>
          </w:divBdr>
        </w:div>
        <w:div w:id="1958558142">
          <w:marLeft w:val="0"/>
          <w:marRight w:val="0"/>
          <w:marTop w:val="20"/>
          <w:marBottom w:val="20"/>
          <w:divBdr>
            <w:top w:val="none" w:sz="0" w:space="0" w:color="auto"/>
            <w:left w:val="none" w:sz="0" w:space="0" w:color="auto"/>
            <w:bottom w:val="none" w:sz="0" w:space="0" w:color="auto"/>
            <w:right w:val="none" w:sz="0" w:space="0" w:color="auto"/>
          </w:divBdr>
        </w:div>
        <w:div w:id="938492943">
          <w:marLeft w:val="0"/>
          <w:marRight w:val="0"/>
          <w:marTop w:val="20"/>
          <w:marBottom w:val="20"/>
          <w:divBdr>
            <w:top w:val="none" w:sz="0" w:space="0" w:color="auto"/>
            <w:left w:val="none" w:sz="0" w:space="0" w:color="auto"/>
            <w:bottom w:val="none" w:sz="0" w:space="0" w:color="auto"/>
            <w:right w:val="none" w:sz="0" w:space="0" w:color="auto"/>
          </w:divBdr>
        </w:div>
        <w:div w:id="460727272">
          <w:marLeft w:val="0"/>
          <w:marRight w:val="0"/>
          <w:marTop w:val="20"/>
          <w:marBottom w:val="20"/>
          <w:divBdr>
            <w:top w:val="none" w:sz="0" w:space="0" w:color="auto"/>
            <w:left w:val="none" w:sz="0" w:space="0" w:color="auto"/>
            <w:bottom w:val="none" w:sz="0" w:space="0" w:color="auto"/>
            <w:right w:val="none" w:sz="0" w:space="0" w:color="auto"/>
          </w:divBdr>
        </w:div>
        <w:div w:id="545871890">
          <w:marLeft w:val="0"/>
          <w:marRight w:val="0"/>
          <w:marTop w:val="20"/>
          <w:marBottom w:val="20"/>
          <w:divBdr>
            <w:top w:val="none" w:sz="0" w:space="0" w:color="auto"/>
            <w:left w:val="none" w:sz="0" w:space="0" w:color="auto"/>
            <w:bottom w:val="none" w:sz="0" w:space="0" w:color="auto"/>
            <w:right w:val="none" w:sz="0" w:space="0" w:color="auto"/>
          </w:divBdr>
        </w:div>
        <w:div w:id="2040159689">
          <w:marLeft w:val="0"/>
          <w:marRight w:val="0"/>
          <w:marTop w:val="0"/>
          <w:marBottom w:val="20"/>
          <w:divBdr>
            <w:top w:val="none" w:sz="0" w:space="0" w:color="auto"/>
            <w:left w:val="none" w:sz="0" w:space="0" w:color="auto"/>
            <w:bottom w:val="none" w:sz="0" w:space="0" w:color="auto"/>
            <w:right w:val="none" w:sz="0" w:space="0" w:color="auto"/>
          </w:divBdr>
        </w:div>
        <w:div w:id="135757691">
          <w:marLeft w:val="0"/>
          <w:marRight w:val="0"/>
          <w:marTop w:val="0"/>
          <w:marBottom w:val="20"/>
          <w:divBdr>
            <w:top w:val="none" w:sz="0" w:space="0" w:color="auto"/>
            <w:left w:val="none" w:sz="0" w:space="0" w:color="auto"/>
            <w:bottom w:val="none" w:sz="0" w:space="0" w:color="auto"/>
            <w:right w:val="none" w:sz="0" w:space="0" w:color="auto"/>
          </w:divBdr>
        </w:div>
        <w:div w:id="754129340">
          <w:marLeft w:val="0"/>
          <w:marRight w:val="0"/>
          <w:marTop w:val="0"/>
          <w:marBottom w:val="20"/>
          <w:divBdr>
            <w:top w:val="none" w:sz="0" w:space="0" w:color="auto"/>
            <w:left w:val="none" w:sz="0" w:space="0" w:color="auto"/>
            <w:bottom w:val="none" w:sz="0" w:space="0" w:color="auto"/>
            <w:right w:val="none" w:sz="0" w:space="0" w:color="auto"/>
          </w:divBdr>
        </w:div>
        <w:div w:id="1604190965">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797</Words>
  <Characters>4387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2019-10-15T16:18:00Z</dcterms:created>
  <dcterms:modified xsi:type="dcterms:W3CDTF">2019-10-15T16:20:00Z</dcterms:modified>
</cp:coreProperties>
</file>