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EB" w:rsidRDefault="00EE51EB" w:rsidP="00EE51EB">
      <w:pPr>
        <w:jc w:val="center"/>
        <w:rPr>
          <w:rFonts w:ascii="Verdana" w:eastAsia="Verdana" w:hAnsi="Verdana" w:cs="Verdana"/>
          <w:b/>
          <w:color w:val="0000FF"/>
          <w:sz w:val="24"/>
          <w:szCs w:val="24"/>
        </w:rPr>
      </w:pPr>
      <w:r w:rsidRPr="00EE51EB">
        <w:rPr>
          <w:rFonts w:ascii="Verdana" w:eastAsia="Verdana" w:hAnsi="Verdana" w:cs="Verdana"/>
          <w:b/>
          <w:color w:val="0000FF"/>
          <w:sz w:val="24"/>
          <w:szCs w:val="24"/>
        </w:rPr>
        <w:t>ACUERDO por el que se actualiza la Carta de Porte en Autotransporte Federal y sus servicios auxiliares.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Pr>
          <w:rFonts w:ascii="Verdana" w:eastAsia="Verdana" w:hAnsi="Verdana" w:cs="Verdana"/>
          <w:b/>
          <w:color w:val="0000FF"/>
          <w:sz w:val="24"/>
          <w:szCs w:val="24"/>
        </w:rPr>
        <w:t xml:space="preserve"> de diciembre</w:t>
      </w:r>
      <w:r w:rsidRPr="00575D6A">
        <w:rPr>
          <w:rFonts w:ascii="Verdana" w:eastAsia="Verdana" w:hAnsi="Verdana" w:cs="Verdana"/>
          <w:b/>
          <w:color w:val="0000FF"/>
          <w:sz w:val="24"/>
          <w:szCs w:val="24"/>
        </w:rPr>
        <w:t xml:space="preserve"> de 2021)</w:t>
      </w:r>
      <w:bookmarkEnd w:id="0"/>
    </w:p>
    <w:p w:rsidR="00B32171" w:rsidRDefault="00EE51EB" w:rsidP="00EE51EB">
      <w:pPr>
        <w:jc w:val="both"/>
        <w:rPr>
          <w:rFonts w:ascii="Arial" w:hAnsi="Arial" w:cs="Arial"/>
          <w:b/>
          <w:color w:val="262626" w:themeColor="text1" w:themeTint="D9"/>
          <w:sz w:val="18"/>
        </w:rPr>
      </w:pPr>
      <w:r w:rsidRPr="00EE51EB">
        <w:rPr>
          <w:rFonts w:ascii="Arial" w:hAnsi="Arial" w:cs="Arial"/>
          <w:b/>
          <w:color w:val="262626" w:themeColor="text1" w:themeTint="D9"/>
          <w:sz w:val="18"/>
        </w:rPr>
        <w:t>Al margen un sello con el Escudo Nacional, que dice: Estados Unidos Mexicanos.- COMUNICACIONES.- Secretaría de Infraestructura, Comunicaciones y Transportes.</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JORGE ARGANIS DÍAZ LEAL, Secretario de Infraestructura, Comunicaciones y Transportes, con fundamento en lo dispuesto por los artículos 36 fracciones IX y XII de la Ley Orgánica de la Administración Pública Federal; 2o. fracción II, 5o., párrafo segundo, fracción I, 8o., fracciones I y XI; 66 y 69 de la Ley de Caminos, Puentes y Autotransporte Federal; 74 del Reglamento de Autotransporte Federal y Servicios Auxiliares y; 1o., 2o., fracción I, 4o, y 22 fracciones XII y XLI del Reglamento Interior de la Secretaría de Comunicaciones y Transportes, y 4 de la Ley Federal de Procedimiento Administrativo, y</w:t>
      </w:r>
    </w:p>
    <w:p w:rsidR="00EE51EB" w:rsidRPr="00EE51EB" w:rsidRDefault="00EE51EB" w:rsidP="00EE51E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E51EB">
        <w:rPr>
          <w:rFonts w:ascii="Times" w:eastAsia="Times New Roman" w:hAnsi="Times" w:cs="Times"/>
          <w:b/>
          <w:bCs/>
          <w:color w:val="2F2F2F"/>
          <w:sz w:val="18"/>
          <w:szCs w:val="18"/>
          <w:lang w:eastAsia="es-MX"/>
        </w:rPr>
        <w:t>CONSIDERANDO</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Que de conformidad con el artículo 10 de la Ley de Planeación, los proyectos de iniciativas de leyes, reglamentos, decretos y acuerdos que formule el Ejecutivo Federal, señalarán las relaciones que, en su caso, existan entre el proyecto de que se trate y el Plan Nacional de Desarrollo y los programas respectivos.</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Que el Plan Nacional de Desarrollo 2019-2024 en su Apartado III Economía, dentro del rubro denominado "Impulsar la reactivación económica, el mercado interno y el empleo", contempla que el sector público fomentará la creación de empleos mediante programas sectoriales, proyectos regionales y obras de infraestructura.</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Que el Programa Sectorial de Comunicaciones y Transportes 2020-2024 (</w:t>
      </w:r>
      <w:proofErr w:type="spellStart"/>
      <w:r w:rsidRPr="00EE51EB">
        <w:rPr>
          <w:rFonts w:ascii="Arial" w:eastAsia="Times New Roman" w:hAnsi="Arial" w:cs="Arial"/>
          <w:color w:val="2F2F2F"/>
          <w:sz w:val="18"/>
          <w:szCs w:val="18"/>
          <w:lang w:eastAsia="es-MX"/>
        </w:rPr>
        <w:t>PSCyT</w:t>
      </w:r>
      <w:proofErr w:type="spellEnd"/>
      <w:r w:rsidRPr="00EE51EB">
        <w:rPr>
          <w:rFonts w:ascii="Arial" w:eastAsia="Times New Roman" w:hAnsi="Arial" w:cs="Arial"/>
          <w:color w:val="2F2F2F"/>
          <w:sz w:val="18"/>
          <w:szCs w:val="18"/>
          <w:lang w:eastAsia="es-MX"/>
        </w:rPr>
        <w:t>), cumple con lo establecido por los artículos 16, fracción III de la Ley de Planeación y 36 de la Ley Orgánica de la Administración Pública Federal; en el instrumento de planeación, que conducirá los esfuerzos del Sector en su conjunto; se identifican los Objetivos y Estrategias Prioritarias, las Acciones puntuales, así como las Metas de Bienestar y Parámetros para dar cumplimiento a la Misión de la Secretaría de Infraestructura, Comunicaciones y Transportes, que pretende fundamentalmente, contribuir al bienestar social y al desarrollo regional de nuestro país.</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Que de conformidad con lo que determina el "Objetivo Prioritario 2 Programa Sectorial de Comunicaciones y Transportes 2020-2024 (</w:t>
      </w:r>
      <w:proofErr w:type="spellStart"/>
      <w:r w:rsidRPr="00EE51EB">
        <w:rPr>
          <w:rFonts w:ascii="Arial" w:eastAsia="Times New Roman" w:hAnsi="Arial" w:cs="Arial"/>
          <w:color w:val="2F2F2F"/>
          <w:sz w:val="18"/>
          <w:szCs w:val="18"/>
          <w:lang w:eastAsia="es-MX"/>
        </w:rPr>
        <w:t>PSCyT</w:t>
      </w:r>
      <w:proofErr w:type="spellEnd"/>
      <w:r w:rsidRPr="00EE51EB">
        <w:rPr>
          <w:rFonts w:ascii="Arial" w:eastAsia="Times New Roman" w:hAnsi="Arial" w:cs="Arial"/>
          <w:color w:val="2F2F2F"/>
          <w:sz w:val="18"/>
          <w:szCs w:val="18"/>
          <w:lang w:eastAsia="es-MX"/>
        </w:rPr>
        <w:t>): </w:t>
      </w:r>
      <w:r w:rsidRPr="00EE51EB">
        <w:rPr>
          <w:rFonts w:ascii="Arial" w:eastAsia="Times New Roman" w:hAnsi="Arial" w:cs="Arial"/>
          <w:i/>
          <w:iCs/>
          <w:color w:val="2F2F2F"/>
          <w:sz w:val="18"/>
          <w:szCs w:val="18"/>
          <w:lang w:eastAsia="es-MX"/>
        </w:rPr>
        <w:t>contribuir al desarrollo del país mediante el fortalecimiento del transporte con visión de largo plazo, enfoque regional, multimodal y sustentable, para que la población, en particular en las regiones de menor crecimiento, cuente con servicios de transporte seguros, de calidad y cobertura nacional</w:t>
      </w:r>
      <w:r w:rsidRPr="00EE51EB">
        <w:rPr>
          <w:rFonts w:ascii="Arial" w:eastAsia="Times New Roman" w:hAnsi="Arial" w:cs="Arial"/>
          <w:color w:val="2F2F2F"/>
          <w:sz w:val="18"/>
          <w:szCs w:val="18"/>
          <w:lang w:eastAsia="es-MX"/>
        </w:rPr>
        <w:t>" y considerando que el autotransporte es el principal modo de transporte del país, ya que participa con 5.6% del PIB nacional, contribuye con más de 83% del PIB del sector transportes, traslada en promedio el 56% del volumen de carga doméstica y 96% de los pasajeros.</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Que a la Secretaría de infraestructura, Comunicaciones y Transportes le corresponde formular y conducir las políticas y programas para el desarrollo del transporte y las comunicaciones de acuerdo a las necesidades del país, según lo establecido en el artículo 36, fracción I de la Ley Orgánica de la Administración Pública Federal y 5 de la Ley de Caminos, Puentes y Autotransporte Federal.</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 xml:space="preserve">Que es obligación de los permisionarios de los servicios de autotransporte federal de carga general, carga especializada en sus distintas modalidades y transporte privado de carga, así como los servicios auxiliares de paquetería y mensajería y de arrastre y salvamento de vehículos, emitir por cada embarque, con motivo del transporte de bienes, mercaderías o cosas o por cada vehículo objeto del servicio, una carta de porte debidamente </w:t>
      </w:r>
      <w:proofErr w:type="spellStart"/>
      <w:r w:rsidRPr="00EE51EB">
        <w:rPr>
          <w:rFonts w:ascii="Arial" w:eastAsia="Times New Roman" w:hAnsi="Arial" w:cs="Arial"/>
          <w:color w:val="2F2F2F"/>
          <w:sz w:val="18"/>
          <w:szCs w:val="18"/>
          <w:lang w:eastAsia="es-MX"/>
        </w:rPr>
        <w:t>requisitada</w:t>
      </w:r>
      <w:proofErr w:type="spellEnd"/>
      <w:r w:rsidRPr="00EE51EB">
        <w:rPr>
          <w:rFonts w:ascii="Arial" w:eastAsia="Times New Roman" w:hAnsi="Arial" w:cs="Arial"/>
          <w:color w:val="2F2F2F"/>
          <w:sz w:val="18"/>
          <w:szCs w:val="18"/>
          <w:lang w:eastAsia="es-MX"/>
        </w:rPr>
        <w:t xml:space="preserve"> y con determinadas características, que además de cumplir con los requisitos fiscales, cumpla con las obligaciones establecidas en distintos cuerpos legales y reglamentarios como son la Ley de Caminos, Puentes y Autotransporte Federal, el Código Fiscal de la Federación, el Código de Comercio, el Reglamento de Autotransporte Federal y Servicios Auxiliares, el Reglamento sobre el Peso, Dimensiones y Capacidad de los Vehículos de Autotransporte que Transitan en los Caminos y Puentes de Jurisdicción Federal, el Reglamento para el Transporte Terrestre de Materiales y Residuos Peligrosos y el Reglamento de Paquetería y Mensajería, así como la Resolución Miscelánea Fiscal vigente.</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Que de acuerdo con lo establecido en el artículo 78 del Código de Comercio, en las convenciones mercantiles cada uno se obliga en la manera y términos que aparezca que quiso obligarse, sin que la validez del acto comercial dependa de la observancia de formalidades o requisitos determinados; en tanto que en el artículo 581 del mismo cuerpo legal, se establece la obligación que tiene el porteador de mercancías de expedir al cargador, una carta de porte con la información que en el mismo precepto se detalla.</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lastRenderedPageBreak/>
        <w:t>Que para efecto de incentivar el uso adecuado de la carta de porte, el 15 de diciembre de 2015 se publicó en el Diario Oficial de la Federación la "</w:t>
      </w:r>
      <w:r w:rsidRPr="00EE51EB">
        <w:rPr>
          <w:rFonts w:ascii="Arial" w:eastAsia="Times New Roman" w:hAnsi="Arial" w:cs="Arial"/>
          <w:i/>
          <w:iCs/>
          <w:color w:val="2F2F2F"/>
          <w:sz w:val="18"/>
          <w:szCs w:val="18"/>
          <w:lang w:eastAsia="es-MX"/>
        </w:rPr>
        <w:t>CIRCULAR por la que se aprueban los modelos de Carta de Porte-Traslado o Comprobante para Amparar el Transporte de Mercancías pre-impresa y Carta de Porte o Comprobante para Amparar el Transporte de Mercancías Digital por Internet (CFDI) que autoriza el servicio de autotransporte federal de carga en los caminos y puentes de jurisdicción federal, así como indicaciones generales, formato e instructivo de requisitos y condiciones de transporte y anexos</w:t>
      </w:r>
      <w:r w:rsidRPr="00EE51EB">
        <w:rPr>
          <w:rFonts w:ascii="Arial" w:eastAsia="Times New Roman" w:hAnsi="Arial" w:cs="Arial"/>
          <w:color w:val="2F2F2F"/>
          <w:sz w:val="18"/>
          <w:szCs w:val="18"/>
          <w:lang w:eastAsia="es-MX"/>
        </w:rPr>
        <w:t>".</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Que de conformidad con los artículos 29 y 29-A del Código Fiscal de la Federación, el Servicio de Administración Tributaria se encuentra facultado para establecer las características de los comprobantes fiscales que servirán para amparar el transporte de las mercancías, así como de los comprobantes que amparen operaciones realizadas con el público en general.</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Que en términos de la regla 2.7.1.8 de la Resolución Miscelánea Fiscal para 2021, publicada en el Diario Oficial de la Federación el 29 de diciembre de 2020, el Servicio de Administración Tributaria publicó en su Portal de Internet los complementos que deben emitir los contribuyentes de sectores o actividades específicas, como son los transportistas con permisos emitidos por la Secretaría de Infraestructura, Comunicaciones y Transportes a través de la Dirección General de Autotransporte Federal, los cuales deben incorporarse a los CFDI que expidan, mismos que son de uso obligatorio, y para el registro de los datos solicitados en los referidos complementos, debiendo cumplir con los criterios establecidos en la documentación técnica de los complementos así como en las guías o instructivos de llenado del CFDI publicados en el citado Portal.</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Que conforme con lo dispuesto en la regla 2.7.1.9 de la tercera versión anticipada de la tercera resolución de modificaciones a la Resolución Miscelánea Fiscal para 2021, para los efectos del artículo 29, penúltimo párrafo del Código Fiscal de la Federación, los contribuyentes dedicados al servicio de transporte de carga general y especializada, que circulen por vía terrestre, férrea, marítima o aérea, así como los que presten el servicio de paquetería y mensajería, de grúas de arrastre y de grúas de arrastre y salvamento y depósito de vehículos, así como de traslado de fondos y valores o materiales y residuos peligrosos, entre otros servicios que impliquen la transportación de bienes o mercancías, deben expedir un CFDI de tipo ingreso con los requisitos establecidos en el artículo 29-A del Código Fiscal de la Federación al que deben incorporar el complemento Carta Porte, que para tales efectos se publique en el Portal del SAT. El referido CFDI y su complemento amparan la prestación de estos servicios y acreditan el transporte y la legal tenencia de los bienes o mercancías con su representación impresa en papel o en formato digital.</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Que conforme a la citada regla el transportista podrá acreditar la legal estancia y/o tenencia de los bienes y mercancías de procedencia extranjera durante su traslado en territorio nacional con el CFDI de tipo ingreso al que se le incorpore el complemento Carta Porte, siempre que en dicho comprobante se registre el número del pedimento de importación.</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Que según lo establecido por la regla 2.7.1.51. de la tercera versión anticipada de la tercera resolución de modificaciones a la Resolución Miscelánea Fiscal para 2021, conforme los efectos del artículo 29, penúltimo párrafo del Código Fiscal de la Federación, los propietarios, poseedores o tenedores de mercancías o bienes que formen parte de sus activos, podrán acreditar el transporte de los mismos cuando se trasladen con sus propios medios, inclusive grúas de arrastre y vehículos de traslado de fondos y valores, en territorio nacional por vía terrestre, mediante la representación impresa en papel o en formato digital, del CFDI de tipo traslado expedido por ellos mismos, al que deberán incorporar el complemento Carta Porte de conformidad con el "Instructivo de llenado del CFDI al que se le incorpora el Complemento Carta Porte".</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Que de conformidad con lo establecido en el artículo Trigésimo Sexto Transitorio, de la Resolución Miscelánea Fiscal aludida, en correlación con el artículo Décimo Primero Transitorio de la PRIMERA Resolución de Modificaciones a la Resolución Miscelánea Fiscal para 2021, publicada en el Diario Oficial de la Federación el 3 de mayo de 2021, se dispuso la entrada en vigor del complemento Carta Porte.</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Que según lo señalado por el resolutivo segundo de la primera versión anticipada de la Tercera Resolución de Modificaciones a la Resolución Miscelánea Fiscal para 2021 donde se reforma el artículo Décimo Primero transitorio de la Primera Resolución de Modificaciones a la Resolución Miscelánea Fiscal para 2021, publicada en el DOF el 3 de mayo de 2021, para señalar que los efectos de las reglas 2.7.1.8., y 2.7.1.9., así como el artículo Trigésimo Sexto Transitorio de la Resolución Miscelánea Fiscal para 2021, donde se establece que el uso del complemento Carta Porte, será obligatorio a partir del 1 de diciembre de 2021, por lo que, teniendo en cuenta las disposiciones referidas, esta Dependencia del Poder Ejecutivo Federal busca simplificar el cumplimiento de la normatividad administrativa a los permisionarios de autotransporte federal, transporte privado y sus servicios auxiliares.</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 xml:space="preserve">Que bajo dicho contexto, la revisión y actualización del marco normativo que regula la operación y funcionamiento de la Secretaría de Infraestructura, Comunicaciones y Transportes constituye un proceso permanente y participativo para integrar una fuente de información confiable y actualizada que provea </w:t>
      </w:r>
      <w:r w:rsidRPr="00EE51EB">
        <w:rPr>
          <w:rFonts w:ascii="Arial" w:eastAsia="Times New Roman" w:hAnsi="Arial" w:cs="Arial"/>
          <w:color w:val="2F2F2F"/>
          <w:sz w:val="18"/>
          <w:szCs w:val="18"/>
          <w:lang w:eastAsia="es-MX"/>
        </w:rPr>
        <w:lastRenderedPageBreak/>
        <w:t>certeza jurídica tanto para los transportistas, como para los servidores públicos de la Secretaría comisionados para la inspección, verificación y vigilancia de los servicios de autotransporte, transporte privado y sus servicios auxiliares, así como a los elementos de la Guardia Nacional encargados de su atención, en virtud de lo cual expido el siguiente:</w:t>
      </w:r>
    </w:p>
    <w:p w:rsidR="00EE51EB" w:rsidRPr="00EE51EB" w:rsidRDefault="00EE51EB" w:rsidP="00EE51E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E51EB">
        <w:rPr>
          <w:rFonts w:ascii="Times" w:eastAsia="Times New Roman" w:hAnsi="Times" w:cs="Times"/>
          <w:b/>
          <w:bCs/>
          <w:color w:val="2F2F2F"/>
          <w:sz w:val="18"/>
          <w:szCs w:val="18"/>
          <w:lang w:eastAsia="es-MX"/>
        </w:rPr>
        <w:t>ACUERDO POR EL QUE SE ACTUALIZA LA CARTA DE PORTE EN AUTOTRANSPORTE FEDERAL Y</w:t>
      </w:r>
      <w:r w:rsidRPr="00EE51EB">
        <w:rPr>
          <w:rFonts w:ascii="Times New Roman" w:eastAsia="Times New Roman" w:hAnsi="Times New Roman" w:cs="Times New Roman"/>
          <w:b/>
          <w:bCs/>
          <w:color w:val="2F2F2F"/>
          <w:sz w:val="18"/>
          <w:szCs w:val="18"/>
          <w:lang w:eastAsia="es-MX"/>
        </w:rPr>
        <w:br/>
      </w:r>
      <w:r w:rsidRPr="00EE51EB">
        <w:rPr>
          <w:rFonts w:ascii="Times" w:eastAsia="Times New Roman" w:hAnsi="Times" w:cs="Times"/>
          <w:b/>
          <w:bCs/>
          <w:color w:val="2F2F2F"/>
          <w:sz w:val="18"/>
          <w:szCs w:val="18"/>
          <w:lang w:eastAsia="es-MX"/>
        </w:rPr>
        <w:t>SUS SERVICIOS AUXILIARES</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ARTÍCULO PRIMERO.-</w:t>
      </w:r>
      <w:r w:rsidRPr="00EE51EB">
        <w:rPr>
          <w:rFonts w:ascii="Arial" w:eastAsia="Times New Roman" w:hAnsi="Arial" w:cs="Arial"/>
          <w:color w:val="2F2F2F"/>
          <w:sz w:val="18"/>
          <w:szCs w:val="18"/>
          <w:lang w:eastAsia="es-MX"/>
        </w:rPr>
        <w:t xml:space="preserve"> La Secretaría de Infraestructura, Comunicaciones y Transportes para efectos de lo previsto por los artículos 2, fracción II, 58, 66 y 69 de la Ley de Caminos, Puentes y Autotransporte Federal y demás disposiciones aplicables en la materia, considerará como carta de porte al denominado complemento Carta Porte del Comprobante Fiscal Digital por Internet (CFDI) emitido en términos de lo dispuesto en los artículos 29, tercer párrafo y 29-A del Código Fiscal de la Federación , en relación con las reglas 2.7.1.8. 2.7.1.9., 2.7.1.51., 2.7.1.53., 2.7.1.55., 2.7.1.56. </w:t>
      </w:r>
      <w:proofErr w:type="gramStart"/>
      <w:r w:rsidRPr="00EE51EB">
        <w:rPr>
          <w:rFonts w:ascii="Arial" w:eastAsia="Times New Roman" w:hAnsi="Arial" w:cs="Arial"/>
          <w:color w:val="2F2F2F"/>
          <w:sz w:val="18"/>
          <w:szCs w:val="18"/>
          <w:lang w:eastAsia="es-MX"/>
        </w:rPr>
        <w:t>y</w:t>
      </w:r>
      <w:proofErr w:type="gramEnd"/>
      <w:r w:rsidRPr="00EE51EB">
        <w:rPr>
          <w:rFonts w:ascii="Arial" w:eastAsia="Times New Roman" w:hAnsi="Arial" w:cs="Arial"/>
          <w:color w:val="2F2F2F"/>
          <w:sz w:val="18"/>
          <w:szCs w:val="18"/>
          <w:lang w:eastAsia="es-MX"/>
        </w:rPr>
        <w:t xml:space="preserve"> 2.7.1.57. </w:t>
      </w:r>
      <w:proofErr w:type="gramStart"/>
      <w:r w:rsidRPr="00EE51EB">
        <w:rPr>
          <w:rFonts w:ascii="Arial" w:eastAsia="Times New Roman" w:hAnsi="Arial" w:cs="Arial"/>
          <w:color w:val="2F2F2F"/>
          <w:sz w:val="18"/>
          <w:szCs w:val="18"/>
          <w:lang w:eastAsia="es-MX"/>
        </w:rPr>
        <w:t>de</w:t>
      </w:r>
      <w:proofErr w:type="gramEnd"/>
      <w:r w:rsidRPr="00EE51EB">
        <w:rPr>
          <w:rFonts w:ascii="Arial" w:eastAsia="Times New Roman" w:hAnsi="Arial" w:cs="Arial"/>
          <w:color w:val="2F2F2F"/>
          <w:sz w:val="18"/>
          <w:szCs w:val="18"/>
          <w:lang w:eastAsia="es-MX"/>
        </w:rPr>
        <w:t xml:space="preserve"> la Resolución Miscelánea Fiscal para 2021 y subsecuentes, en archivo digital a través de dispositivos electrónicos o bien mediante su representación impresa.</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Lo anterior, sin perjuicio del cumplimiento en lo conducente, de lo dispuesto en la Ley de Caminos, Puentes y Autotransporte Federal, el Código de Comercio, el Reglamento de Autotransporte Federal y Servicios Auxiliares, el Reglamento sobre el Peso, Dimensiones y Capacidad de los Vehículos de Autotransporte que Transitan en los Caminos y Puentes de Jurisdicción Federal, el Reglamento para el Transporte Terrestre de Materiales y Residuos Peligrosos y el Reglamento de Paquetería y Mensajería y demás disposiciones aplicables en la materia.</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ARTÍCULO SEGUNDO.-</w:t>
      </w:r>
      <w:r w:rsidRPr="00EE51EB">
        <w:rPr>
          <w:rFonts w:ascii="Arial" w:eastAsia="Times New Roman" w:hAnsi="Arial" w:cs="Arial"/>
          <w:color w:val="2F2F2F"/>
          <w:sz w:val="18"/>
          <w:szCs w:val="18"/>
          <w:lang w:eastAsia="es-MX"/>
        </w:rPr>
        <w:t> El complemento Carta Porte que se incorpora al CFDI de tipo Ingreso, en los términos señalados en el primer párrafo del artículo primero del presente Acuerdo, es el título legal del contrato entre el transportista y el "Expedidor", "Remitente" o "Usuario" que contrata el servicio, por cuyo contenido se decidirán las cuestiones que ocurran con motivo del servicio de transporte, siendo el instrumento comprobatorio de la recepción o entrega de las cosas, bienes mercancías o vehículo objeto de servicio, de su legal posesión, traslado o transporte, aplicable en el servicio de autotransporte federal de carga general o especializada en sus distintas modalidades, paquetería y mensajería, así como el servicio de arrastre y arrastre y salvamento de vehículos.</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En el transporte privado de carga el permisionario acreditará el transporte de sus bienes o mercancías, a través de un CFDI de tipo Traslado con Complemento Carta Porte.</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ARTÍCULO TERCERO.-</w:t>
      </w:r>
      <w:r w:rsidRPr="00EE51EB">
        <w:rPr>
          <w:rFonts w:ascii="Arial" w:eastAsia="Times New Roman" w:hAnsi="Arial" w:cs="Arial"/>
          <w:color w:val="2F2F2F"/>
          <w:sz w:val="18"/>
          <w:szCs w:val="18"/>
          <w:lang w:eastAsia="es-MX"/>
        </w:rPr>
        <w:t> La Secretaría de Infraestructura, Comunicaciones y Transportes, a través de los servidores públicos comisionados para la inspección, verificación y vigilancia, dependientes de la Dirección General de Autotransporte Federal o los Centros SCT en cada uno de los Estados que integran la Federación, verificará en Centros Fijos de Verificación de Peso y Dimensiones y a través de visitas de inspección, el cumplimiento del complemento Carta Porte incorporado al CFDI de tipo traslado o de ingreso, según corresponda, conforme a la normatividad aplicable, con independencia de las atribuciones que tiene conferidas la Guardia Nacional dependiente de la Secretaría de Seguridad y Protección Ciudadana, para realizar dichas verificaciones cuando las mercancías sean transportadas en vehículos o unidades motrices que circulen en la zona terrestre de las vías generales de comunicación.</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ARTÍCULO CUARTO.- </w:t>
      </w:r>
      <w:r w:rsidRPr="00EE51EB">
        <w:rPr>
          <w:rFonts w:ascii="Arial" w:eastAsia="Times New Roman" w:hAnsi="Arial" w:cs="Arial"/>
          <w:color w:val="2F2F2F"/>
          <w:sz w:val="18"/>
          <w:szCs w:val="18"/>
          <w:lang w:eastAsia="es-MX"/>
        </w:rPr>
        <w:t>Las condiciones de prestación de los servicios de transporte de bienes, mercancías o vehículos, por los caminos y puentes de jurisdicción federal, se consignarán en las cláusulas del contrato de prestación de servicios que ampara la carta porte, mismas que son obligatorias para todos los transportistas y formarán parte integral en la representación impresa, en papel o en formato digital, del CFDI de tipo traslado o ingreso con complemento Carta Porte, en los términos del Anexo Único del presente Acuerdo.</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ARTÍCULO QUINTO.-</w:t>
      </w:r>
      <w:r w:rsidRPr="00EE51EB">
        <w:rPr>
          <w:rFonts w:ascii="Arial" w:eastAsia="Times New Roman" w:hAnsi="Arial" w:cs="Arial"/>
          <w:color w:val="2F2F2F"/>
          <w:sz w:val="18"/>
          <w:szCs w:val="18"/>
          <w:lang w:eastAsia="es-MX"/>
        </w:rPr>
        <w:t> Para la interpretación y casos no previstos en el presente Acuerdo, así como en las condiciones contenidas en el Anexo Único, se someterán por la vía administrativa a la consideración de la Secretaría de Infraestructura, Comunicaciones y Transportes, a través de la Dirección General de Autotransporte Federal.</w:t>
      </w:r>
    </w:p>
    <w:p w:rsidR="00EE51EB" w:rsidRPr="00EE51EB" w:rsidRDefault="00EE51EB" w:rsidP="00EE51E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E51EB">
        <w:rPr>
          <w:rFonts w:ascii="Times" w:eastAsia="Times New Roman" w:hAnsi="Times" w:cs="Times"/>
          <w:b/>
          <w:bCs/>
          <w:color w:val="2F2F2F"/>
          <w:sz w:val="18"/>
          <w:szCs w:val="18"/>
          <w:lang w:eastAsia="es-MX"/>
        </w:rPr>
        <w:t>TRANSITORIOS</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PRIMERO.- </w:t>
      </w:r>
      <w:r w:rsidRPr="00EE51EB">
        <w:rPr>
          <w:rFonts w:ascii="Arial" w:eastAsia="Times New Roman" w:hAnsi="Arial" w:cs="Arial"/>
          <w:color w:val="2F2F2F"/>
          <w:sz w:val="18"/>
          <w:szCs w:val="18"/>
          <w:lang w:eastAsia="es-MX"/>
        </w:rPr>
        <w:t xml:space="preserve">El presente Acuerdo entrará en vigor una vez que sea obligatorio el uso del complemento Carta Porte a que se refieren las reglas 2.7.1.8., 2.7.1.9. </w:t>
      </w:r>
      <w:proofErr w:type="gramStart"/>
      <w:r w:rsidRPr="00EE51EB">
        <w:rPr>
          <w:rFonts w:ascii="Arial" w:eastAsia="Times New Roman" w:hAnsi="Arial" w:cs="Arial"/>
          <w:color w:val="2F2F2F"/>
          <w:sz w:val="18"/>
          <w:szCs w:val="18"/>
          <w:lang w:eastAsia="es-MX"/>
        </w:rPr>
        <w:t>y</w:t>
      </w:r>
      <w:proofErr w:type="gramEnd"/>
      <w:r w:rsidRPr="00EE51EB">
        <w:rPr>
          <w:rFonts w:ascii="Arial" w:eastAsia="Times New Roman" w:hAnsi="Arial" w:cs="Arial"/>
          <w:color w:val="2F2F2F"/>
          <w:sz w:val="18"/>
          <w:szCs w:val="18"/>
          <w:lang w:eastAsia="es-MX"/>
        </w:rPr>
        <w:t xml:space="preserve"> 2.7.1.51. </w:t>
      </w:r>
      <w:proofErr w:type="gramStart"/>
      <w:r w:rsidRPr="00EE51EB">
        <w:rPr>
          <w:rFonts w:ascii="Arial" w:eastAsia="Times New Roman" w:hAnsi="Arial" w:cs="Arial"/>
          <w:color w:val="2F2F2F"/>
          <w:sz w:val="18"/>
          <w:szCs w:val="18"/>
          <w:lang w:eastAsia="es-MX"/>
        </w:rPr>
        <w:t>de</w:t>
      </w:r>
      <w:proofErr w:type="gramEnd"/>
      <w:r w:rsidRPr="00EE51EB">
        <w:rPr>
          <w:rFonts w:ascii="Arial" w:eastAsia="Times New Roman" w:hAnsi="Arial" w:cs="Arial"/>
          <w:color w:val="2F2F2F"/>
          <w:sz w:val="18"/>
          <w:szCs w:val="18"/>
          <w:lang w:eastAsia="es-MX"/>
        </w:rPr>
        <w:t xml:space="preserve"> la Tercera Resolución de Modificaciones a la Resolución Miscelánea Fiscal para 2021, publicada en el Diario Oficial de la Federación el 18 de noviembre de 2021.</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SEGUNDO.- </w:t>
      </w:r>
      <w:r w:rsidRPr="00EE51EB">
        <w:rPr>
          <w:rFonts w:ascii="Arial" w:eastAsia="Times New Roman" w:hAnsi="Arial" w:cs="Arial"/>
          <w:color w:val="2F2F2F"/>
          <w:sz w:val="18"/>
          <w:szCs w:val="18"/>
          <w:lang w:eastAsia="es-MX"/>
        </w:rPr>
        <w:t xml:space="preserve">Se abroga la "CIRCULAR por la que se aprueban los modelos de Carta de Porte-Traslado o Comprobante para Amparar el Transporte de Mercancías pre-impresa y Carta de Porte o Comprobante para Amparar el Transporte de Mercancías Digital por Internet (CFDI) que autoriza el servicio de </w:t>
      </w:r>
      <w:r w:rsidRPr="00EE51EB">
        <w:rPr>
          <w:rFonts w:ascii="Arial" w:eastAsia="Times New Roman" w:hAnsi="Arial" w:cs="Arial"/>
          <w:color w:val="2F2F2F"/>
          <w:sz w:val="18"/>
          <w:szCs w:val="18"/>
          <w:lang w:eastAsia="es-MX"/>
        </w:rPr>
        <w:lastRenderedPageBreak/>
        <w:t>autotransporte federal de carga en los caminos y puentes de jurisdicción federal, así como indicaciones generales, formato e instructivo de requisitos y condiciones de transporte y anexos", publicada en el Diario Oficial de la Federación el 15 de diciembre de 2015.</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Dado en la Ciudad de México, a 9 de diciembre de 2021.- El Secretario de Infraestructura, Comunicaciones y Transportes, Ing. </w:t>
      </w:r>
      <w:r w:rsidRPr="00EE51EB">
        <w:rPr>
          <w:rFonts w:ascii="Arial" w:eastAsia="Times New Roman" w:hAnsi="Arial" w:cs="Arial"/>
          <w:b/>
          <w:bCs/>
          <w:color w:val="2F2F2F"/>
          <w:sz w:val="18"/>
          <w:szCs w:val="18"/>
          <w:lang w:eastAsia="es-MX"/>
        </w:rPr>
        <w:t xml:space="preserve">Jorge </w:t>
      </w:r>
      <w:proofErr w:type="spellStart"/>
      <w:r w:rsidRPr="00EE51EB">
        <w:rPr>
          <w:rFonts w:ascii="Arial" w:eastAsia="Times New Roman" w:hAnsi="Arial" w:cs="Arial"/>
          <w:b/>
          <w:bCs/>
          <w:color w:val="2F2F2F"/>
          <w:sz w:val="18"/>
          <w:szCs w:val="18"/>
          <w:lang w:eastAsia="es-MX"/>
        </w:rPr>
        <w:t>Arganis</w:t>
      </w:r>
      <w:proofErr w:type="spellEnd"/>
      <w:r w:rsidRPr="00EE51EB">
        <w:rPr>
          <w:rFonts w:ascii="Arial" w:eastAsia="Times New Roman" w:hAnsi="Arial" w:cs="Arial"/>
          <w:b/>
          <w:bCs/>
          <w:color w:val="2F2F2F"/>
          <w:sz w:val="18"/>
          <w:szCs w:val="18"/>
          <w:lang w:eastAsia="es-MX"/>
        </w:rPr>
        <w:t xml:space="preserve"> Díaz Leal</w:t>
      </w:r>
      <w:r w:rsidRPr="00EE51EB">
        <w:rPr>
          <w:rFonts w:ascii="Arial" w:eastAsia="Times New Roman" w:hAnsi="Arial" w:cs="Arial"/>
          <w:color w:val="2F2F2F"/>
          <w:sz w:val="18"/>
          <w:szCs w:val="18"/>
          <w:lang w:eastAsia="es-MX"/>
        </w:rPr>
        <w:t>.- Rúbrica.</w:t>
      </w:r>
    </w:p>
    <w:p w:rsidR="00EE51EB" w:rsidRPr="00EE51EB" w:rsidRDefault="00EE51EB" w:rsidP="00EE51E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E51EB">
        <w:rPr>
          <w:rFonts w:ascii="Times" w:eastAsia="Times New Roman" w:hAnsi="Times" w:cs="Times"/>
          <w:b/>
          <w:bCs/>
          <w:color w:val="2F2F2F"/>
          <w:sz w:val="18"/>
          <w:szCs w:val="18"/>
          <w:lang w:eastAsia="es-MX"/>
        </w:rPr>
        <w:t>ANEXO ÚNICO</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CONDICIONES DE PRESTACIÓN DE SERVICIOS QUE AMPARA EL COMPLEMENTO CARTA PORTE.</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PRIMERA.-</w:t>
      </w:r>
      <w:r w:rsidRPr="00EE51EB">
        <w:rPr>
          <w:rFonts w:ascii="Arial" w:eastAsia="Times New Roman" w:hAnsi="Arial" w:cs="Arial"/>
          <w:color w:val="2F2F2F"/>
          <w:sz w:val="18"/>
          <w:szCs w:val="18"/>
          <w:lang w:eastAsia="es-MX"/>
        </w:rPr>
        <w:t> Para los efectos del presente contrato de transporte se denomina "Transportista" al que realiza el servicio de transportación y "Expedidor", "Remitente" o "Usuario" al usuario que contrate el servicio o remite la mercancía.</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SEGUNDA.-</w:t>
      </w:r>
      <w:r w:rsidRPr="00EE51EB">
        <w:rPr>
          <w:rFonts w:ascii="Arial" w:eastAsia="Times New Roman" w:hAnsi="Arial" w:cs="Arial"/>
          <w:color w:val="2F2F2F"/>
          <w:sz w:val="18"/>
          <w:szCs w:val="18"/>
          <w:lang w:eastAsia="es-MX"/>
        </w:rPr>
        <w:t> El "Expedidor", "Remitente" o "Usuario" es responsable de que la información proporcionada al "Transportista" sea veraz y que la documentación que entregue para efectos del transporte sea la correcta.</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TERCERA.-</w:t>
      </w:r>
      <w:r w:rsidRPr="00EE51EB">
        <w:rPr>
          <w:rFonts w:ascii="Arial" w:eastAsia="Times New Roman" w:hAnsi="Arial" w:cs="Arial"/>
          <w:color w:val="2F2F2F"/>
          <w:sz w:val="18"/>
          <w:szCs w:val="18"/>
          <w:lang w:eastAsia="es-MX"/>
        </w:rPr>
        <w:t> El "Expedidor", "Remitente" o "Usuario" debe declarar al "Transportista" el tipo de mercancía o efectos de que se trate, peso, medidas y/o número de la carga que entrega para su transporte y, en su caso, el valor de la misma. La carga que se entregue a granel podrá ser aforada en metros cúbicos con la conformidad del "Expedidor", "Remitente" o "Usuario".</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CUARTA.-</w:t>
      </w:r>
      <w:r w:rsidRPr="00EE51EB">
        <w:rPr>
          <w:rFonts w:ascii="Arial" w:eastAsia="Times New Roman" w:hAnsi="Arial" w:cs="Arial"/>
          <w:color w:val="2F2F2F"/>
          <w:sz w:val="18"/>
          <w:szCs w:val="18"/>
          <w:lang w:eastAsia="es-MX"/>
        </w:rPr>
        <w:t> Para efectos del transporte, el "Expedidor", "Remitente" o "Usuario" deberá entregar al "Transportista" los documentos que las leyes y reglamentos exijan para llevar a cabo el servicio, en caso de no cumplirse con estos requisitos el "Transportista" está obligado a rehusar el transporte de las mercancías.</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QUINTA.-</w:t>
      </w:r>
      <w:r w:rsidRPr="00EE51EB">
        <w:rPr>
          <w:rFonts w:ascii="Arial" w:eastAsia="Times New Roman" w:hAnsi="Arial" w:cs="Arial"/>
          <w:color w:val="2F2F2F"/>
          <w:sz w:val="18"/>
          <w:szCs w:val="18"/>
          <w:lang w:eastAsia="es-MX"/>
        </w:rPr>
        <w:t> Si por sospecha de falsedad en la declaración del contenido de un bulto el "Transportista" deseare proceder a su reconocimiento, podrá hacerlo ante testigos y con asistencia del "Expedidor", "Remitente" o "Usuario" o del consignatario. Si este último no concurriere, se solicitará la presencia de un inspector de la Secretaría de Comunicaciones y Transportes, y se levantará el acta correspondiente. El "Transportista" tendrá en todo caso, la obligación de dejar los bultos en el estado en que se encontraban antes del reconocimiento.</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SEXTA.-</w:t>
      </w:r>
      <w:r w:rsidRPr="00EE51EB">
        <w:rPr>
          <w:rFonts w:ascii="Arial" w:eastAsia="Times New Roman" w:hAnsi="Arial" w:cs="Arial"/>
          <w:color w:val="2F2F2F"/>
          <w:sz w:val="18"/>
          <w:szCs w:val="18"/>
          <w:lang w:eastAsia="es-MX"/>
        </w:rPr>
        <w:t> El "Transportista" deberá recoger y entregar la carga precisamente en los domicilios que señale el "Expedidor", "Remitente" o "Usuario", ajustándose a los términos y condiciones convenidos. El "Transportista" sólo está obligado a llevar la carga al domicilio del consignatario para su entrega una sola vez. Si ésta no fuera recibida, se dejará aviso de que la mercancía queda a disposición del interesado en las bodegas que indique el "Transportista".</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SÉPTIMA.-</w:t>
      </w:r>
      <w:r w:rsidRPr="00EE51EB">
        <w:rPr>
          <w:rFonts w:ascii="Arial" w:eastAsia="Times New Roman" w:hAnsi="Arial" w:cs="Arial"/>
          <w:color w:val="2F2F2F"/>
          <w:sz w:val="18"/>
          <w:szCs w:val="18"/>
          <w:lang w:eastAsia="es-MX"/>
        </w:rPr>
        <w:t> Si la carga no fuere retirada dentro de los 30 días hábiles siguientes a aquél en que hubiere sido puesta a disposición del consignatario, el "Transportista" podrá solicitar la venta en subasta pública con arreglo a lo que dispone el Código de Comercio.</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OCTAVA.-</w:t>
      </w:r>
      <w:r w:rsidRPr="00EE51EB">
        <w:rPr>
          <w:rFonts w:ascii="Arial" w:eastAsia="Times New Roman" w:hAnsi="Arial" w:cs="Arial"/>
          <w:color w:val="2F2F2F"/>
          <w:sz w:val="18"/>
          <w:szCs w:val="18"/>
          <w:lang w:eastAsia="es-MX"/>
        </w:rPr>
        <w:t> El "Transportista" y el "Expedidor", "Remitente" o "Usuario" negociarán libremente el precio del servicio, tomando en cuenta su tipo, característica de los embarques, volumen, regularidad, clase de carga y sistema de pago.</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NOVENA.-</w:t>
      </w:r>
      <w:r w:rsidRPr="00EE51EB">
        <w:rPr>
          <w:rFonts w:ascii="Arial" w:eastAsia="Times New Roman" w:hAnsi="Arial" w:cs="Arial"/>
          <w:color w:val="2F2F2F"/>
          <w:sz w:val="18"/>
          <w:szCs w:val="18"/>
          <w:lang w:eastAsia="es-MX"/>
        </w:rPr>
        <w:t> Si el "Expedidor", "Remitente" o "Usuario" desea que el "Transportista" asuma la responsabilidad por el valor de las mercancías o efectos que él declare y que cubra toda clase de riesgos, inclusive los derivados de caso fortuito o de fuerza mayor, las partes deberán convenir un cargo adicional, equivalente al valor de la prima del seguro que se contrate, el cual se deberá expresar en un CFDI con Complemento Carta Porte.</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DÉCIMA.-</w:t>
      </w:r>
      <w:r w:rsidRPr="00EE51EB">
        <w:rPr>
          <w:rFonts w:ascii="Arial" w:eastAsia="Times New Roman" w:hAnsi="Arial" w:cs="Arial"/>
          <w:color w:val="2F2F2F"/>
          <w:sz w:val="18"/>
          <w:szCs w:val="18"/>
          <w:lang w:eastAsia="es-MX"/>
        </w:rPr>
        <w:t> Cuando el importe del flete no incluya el cargo adicional, la responsabilidad del "Transportista" queda expresamente limitada a la cantidad equivalente a 15 Unidades de Medida y Actualización (UMAS) por tonelada o cuando se trate de embarques cuyo peso sea mayor de 200 kg., pero menor de 1000 kg; y 4 UMAS por remesa cuando se trate de embarques con peso hasta de 200 kg.</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DÉCIMA PRIMERA.-</w:t>
      </w:r>
      <w:r w:rsidRPr="00EE51EB">
        <w:rPr>
          <w:rFonts w:ascii="Arial" w:eastAsia="Times New Roman" w:hAnsi="Arial" w:cs="Arial"/>
          <w:color w:val="2F2F2F"/>
          <w:sz w:val="18"/>
          <w:szCs w:val="18"/>
          <w:lang w:eastAsia="es-MX"/>
        </w:rPr>
        <w:t> El precio del transporte deberá pagarse en origen, salvo convenio entre las partes de pago en destino. Cuando el transporte se hubiere concertado "Flete por Cobrar", la entrega de las mercancías o efectos se hará contra el pago del flete y el "Transportista" tendrá derecho a retenerlos mientras no se le cubra el precio convenido.</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DÉCIMA SEGUNDA.-</w:t>
      </w:r>
      <w:r w:rsidRPr="00EE51EB">
        <w:rPr>
          <w:rFonts w:ascii="Arial" w:eastAsia="Times New Roman" w:hAnsi="Arial" w:cs="Arial"/>
          <w:color w:val="2F2F2F"/>
          <w:sz w:val="18"/>
          <w:szCs w:val="18"/>
          <w:lang w:eastAsia="es-MX"/>
        </w:rPr>
        <w:t> Si al momento de la entrega resultare algún faltante o avería, el consignatario podrá formular su reclamación por escrito al "Transportista", dentro de las 24 horas siguientes.</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 </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lastRenderedPageBreak/>
        <w:t>DÉCIMA TERCERA.-</w:t>
      </w:r>
      <w:r w:rsidRPr="00EE51EB">
        <w:rPr>
          <w:rFonts w:ascii="Arial" w:eastAsia="Times New Roman" w:hAnsi="Arial" w:cs="Arial"/>
          <w:color w:val="2F2F2F"/>
          <w:sz w:val="18"/>
          <w:szCs w:val="18"/>
          <w:lang w:eastAsia="es-MX"/>
        </w:rPr>
        <w:t> El "Transportista" queda eximido de la obligación de recibir mercancías o efectos para su transporte, en los siguientes casos:</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a)</w:t>
      </w:r>
      <w:r w:rsidRPr="00EE51EB">
        <w:rPr>
          <w:rFonts w:ascii="Arial" w:eastAsia="Times New Roman" w:hAnsi="Arial" w:cs="Arial"/>
          <w:color w:val="2F2F2F"/>
          <w:sz w:val="18"/>
          <w:szCs w:val="18"/>
          <w:lang w:eastAsia="es-MX"/>
        </w:rPr>
        <w:t> Cuando se trate de carga que por su naturaleza, peso, volumen, embalaje defectuoso o cualquier otra circunstancia no pueda transportarse sin destruirse o sin causar daño a los demás artículos o al material rodante, salvo que la empresa de que se trate tenga el equipo adecuado.</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b) </w:t>
      </w:r>
      <w:r w:rsidRPr="00EE51EB">
        <w:rPr>
          <w:rFonts w:ascii="Arial" w:eastAsia="Times New Roman" w:hAnsi="Arial" w:cs="Arial"/>
          <w:color w:val="2F2F2F"/>
          <w:sz w:val="18"/>
          <w:szCs w:val="18"/>
          <w:lang w:eastAsia="es-MX"/>
        </w:rPr>
        <w:t>Las mercancías cuyo transporte haya sido prohibido por disposiciones legales o reglamentarias. Cuando tales disposiciones no prohíban precisamente el transporte de determinadas mercancías, pero sí ordenen la presentación de ciertos documentos para que puedan ser transportadas, el "Expedidor", "Remitente" o "Usuario" estará obligado a entregar al "Transportista" los documentos correspondientes.</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DÉCIMA CUARTA.-</w:t>
      </w:r>
      <w:r w:rsidRPr="00EE51EB">
        <w:rPr>
          <w:rFonts w:ascii="Arial" w:eastAsia="Times New Roman" w:hAnsi="Arial" w:cs="Arial"/>
          <w:color w:val="2F2F2F"/>
          <w:sz w:val="18"/>
          <w:szCs w:val="18"/>
          <w:lang w:eastAsia="es-MX"/>
        </w:rPr>
        <w:t> Los casos no previstos en las presentes condiciones y las quejas derivadas de su aplicación se someterán por la vía administrativa a la Secretaría de Comunicaciones y Transportes.</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b/>
          <w:bCs/>
          <w:color w:val="2F2F2F"/>
          <w:sz w:val="18"/>
          <w:szCs w:val="18"/>
          <w:lang w:eastAsia="es-MX"/>
        </w:rPr>
        <w:t>DÉCIMA QUINTA.-</w:t>
      </w:r>
      <w:r w:rsidRPr="00EE51EB">
        <w:rPr>
          <w:rFonts w:ascii="Arial" w:eastAsia="Times New Roman" w:hAnsi="Arial" w:cs="Arial"/>
          <w:color w:val="2F2F2F"/>
          <w:sz w:val="18"/>
          <w:szCs w:val="18"/>
          <w:lang w:eastAsia="es-MX"/>
        </w:rPr>
        <w:t> Para el caso de que el "Expedidor", "Remitente" o "Usuario" contrate carro por entero, éste aceptará la responsabilidad solidaria para con el "Transportista" mediante la figura de la corresponsabilidad que contempla el artículo 10 del Reglamento Sobre el Peso, Dimensiones y Capacidad de los Vehículos de Autotransporte que Transitan en los Caminos y Puentes de Jurisdicción Federal, por lo que el "Expedidor", "Remitente" o "Usuario" queda obligado a verificar que la carga y el vehículo que la transporta, cumplan con el peso y dimensiones máximas establecidos en la NOM-012-SCT-2-2017, o la que la sustituya.</w:t>
      </w:r>
    </w:p>
    <w:p w:rsidR="00EE51EB" w:rsidRPr="00EE51EB" w:rsidRDefault="00EE51EB" w:rsidP="00EE51EB">
      <w:pPr>
        <w:shd w:val="clear" w:color="auto" w:fill="FFFFFF"/>
        <w:spacing w:after="101" w:line="240" w:lineRule="auto"/>
        <w:ind w:firstLine="288"/>
        <w:jc w:val="both"/>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Para el caso de incumplimiento e inobservancia a las disposiciones que regulan el peso y dimensiones, por parte del "Expedidor", "Remitente" o "Usuario", éste será corresponsable de las infracciones y multas que la Secretaría de Infraestructura, Comunicaciones y Transportes o la Guardia Nacional impongan al "Transportista", por cargar las unidades con exceso de peso.</w:t>
      </w:r>
    </w:p>
    <w:p w:rsidR="00EE51EB" w:rsidRPr="00EE51EB" w:rsidRDefault="00EE51EB" w:rsidP="00EE51EB">
      <w:pPr>
        <w:shd w:val="clear" w:color="auto" w:fill="FFFFFF"/>
        <w:spacing w:after="101" w:line="240" w:lineRule="auto"/>
        <w:jc w:val="center"/>
        <w:rPr>
          <w:rFonts w:ascii="Arial" w:eastAsia="Times New Roman" w:hAnsi="Arial" w:cs="Arial"/>
          <w:color w:val="2F2F2F"/>
          <w:sz w:val="18"/>
          <w:szCs w:val="18"/>
          <w:lang w:eastAsia="es-MX"/>
        </w:rPr>
      </w:pPr>
      <w:r w:rsidRPr="00EE51EB">
        <w:rPr>
          <w:rFonts w:ascii="Arial" w:eastAsia="Times New Roman" w:hAnsi="Arial" w:cs="Arial"/>
          <w:color w:val="2F2F2F"/>
          <w:sz w:val="18"/>
          <w:szCs w:val="18"/>
          <w:lang w:eastAsia="es-MX"/>
        </w:rPr>
        <w:t>______________________________</w:t>
      </w:r>
    </w:p>
    <w:sectPr w:rsidR="00EE51EB" w:rsidRPr="00EE51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EB"/>
    <w:rsid w:val="00857D96"/>
    <w:rsid w:val="00C500C3"/>
    <w:rsid w:val="00EE5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1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1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84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524">
          <w:marLeft w:val="0"/>
          <w:marRight w:val="0"/>
          <w:marTop w:val="0"/>
          <w:marBottom w:val="101"/>
          <w:divBdr>
            <w:top w:val="none" w:sz="0" w:space="0" w:color="auto"/>
            <w:left w:val="none" w:sz="0" w:space="0" w:color="auto"/>
            <w:bottom w:val="none" w:sz="0" w:space="0" w:color="auto"/>
            <w:right w:val="none" w:sz="0" w:space="0" w:color="auto"/>
          </w:divBdr>
        </w:div>
        <w:div w:id="1787502543">
          <w:marLeft w:val="0"/>
          <w:marRight w:val="0"/>
          <w:marTop w:val="101"/>
          <w:marBottom w:val="101"/>
          <w:divBdr>
            <w:top w:val="none" w:sz="0" w:space="0" w:color="auto"/>
            <w:left w:val="none" w:sz="0" w:space="0" w:color="auto"/>
            <w:bottom w:val="none" w:sz="0" w:space="0" w:color="auto"/>
            <w:right w:val="none" w:sz="0" w:space="0" w:color="auto"/>
          </w:divBdr>
        </w:div>
        <w:div w:id="1302034810">
          <w:marLeft w:val="0"/>
          <w:marRight w:val="0"/>
          <w:marTop w:val="0"/>
          <w:marBottom w:val="101"/>
          <w:divBdr>
            <w:top w:val="none" w:sz="0" w:space="0" w:color="auto"/>
            <w:left w:val="none" w:sz="0" w:space="0" w:color="auto"/>
            <w:bottom w:val="none" w:sz="0" w:space="0" w:color="auto"/>
            <w:right w:val="none" w:sz="0" w:space="0" w:color="auto"/>
          </w:divBdr>
        </w:div>
        <w:div w:id="1828786189">
          <w:marLeft w:val="0"/>
          <w:marRight w:val="0"/>
          <w:marTop w:val="0"/>
          <w:marBottom w:val="101"/>
          <w:divBdr>
            <w:top w:val="none" w:sz="0" w:space="0" w:color="auto"/>
            <w:left w:val="none" w:sz="0" w:space="0" w:color="auto"/>
            <w:bottom w:val="none" w:sz="0" w:space="0" w:color="auto"/>
            <w:right w:val="none" w:sz="0" w:space="0" w:color="auto"/>
          </w:divBdr>
        </w:div>
        <w:div w:id="1166168079">
          <w:marLeft w:val="0"/>
          <w:marRight w:val="0"/>
          <w:marTop w:val="0"/>
          <w:marBottom w:val="101"/>
          <w:divBdr>
            <w:top w:val="none" w:sz="0" w:space="0" w:color="auto"/>
            <w:left w:val="none" w:sz="0" w:space="0" w:color="auto"/>
            <w:bottom w:val="none" w:sz="0" w:space="0" w:color="auto"/>
            <w:right w:val="none" w:sz="0" w:space="0" w:color="auto"/>
          </w:divBdr>
        </w:div>
        <w:div w:id="1890335371">
          <w:marLeft w:val="0"/>
          <w:marRight w:val="0"/>
          <w:marTop w:val="0"/>
          <w:marBottom w:val="101"/>
          <w:divBdr>
            <w:top w:val="none" w:sz="0" w:space="0" w:color="auto"/>
            <w:left w:val="none" w:sz="0" w:space="0" w:color="auto"/>
            <w:bottom w:val="none" w:sz="0" w:space="0" w:color="auto"/>
            <w:right w:val="none" w:sz="0" w:space="0" w:color="auto"/>
          </w:divBdr>
        </w:div>
        <w:div w:id="2138209543">
          <w:marLeft w:val="0"/>
          <w:marRight w:val="0"/>
          <w:marTop w:val="0"/>
          <w:marBottom w:val="101"/>
          <w:divBdr>
            <w:top w:val="none" w:sz="0" w:space="0" w:color="auto"/>
            <w:left w:val="none" w:sz="0" w:space="0" w:color="auto"/>
            <w:bottom w:val="none" w:sz="0" w:space="0" w:color="auto"/>
            <w:right w:val="none" w:sz="0" w:space="0" w:color="auto"/>
          </w:divBdr>
        </w:div>
        <w:div w:id="489717498">
          <w:marLeft w:val="0"/>
          <w:marRight w:val="0"/>
          <w:marTop w:val="0"/>
          <w:marBottom w:val="101"/>
          <w:divBdr>
            <w:top w:val="none" w:sz="0" w:space="0" w:color="auto"/>
            <w:left w:val="none" w:sz="0" w:space="0" w:color="auto"/>
            <w:bottom w:val="none" w:sz="0" w:space="0" w:color="auto"/>
            <w:right w:val="none" w:sz="0" w:space="0" w:color="auto"/>
          </w:divBdr>
        </w:div>
        <w:div w:id="1884519690">
          <w:marLeft w:val="0"/>
          <w:marRight w:val="0"/>
          <w:marTop w:val="0"/>
          <w:marBottom w:val="101"/>
          <w:divBdr>
            <w:top w:val="none" w:sz="0" w:space="0" w:color="auto"/>
            <w:left w:val="none" w:sz="0" w:space="0" w:color="auto"/>
            <w:bottom w:val="none" w:sz="0" w:space="0" w:color="auto"/>
            <w:right w:val="none" w:sz="0" w:space="0" w:color="auto"/>
          </w:divBdr>
        </w:div>
        <w:div w:id="413010406">
          <w:marLeft w:val="0"/>
          <w:marRight w:val="0"/>
          <w:marTop w:val="0"/>
          <w:marBottom w:val="101"/>
          <w:divBdr>
            <w:top w:val="none" w:sz="0" w:space="0" w:color="auto"/>
            <w:left w:val="none" w:sz="0" w:space="0" w:color="auto"/>
            <w:bottom w:val="none" w:sz="0" w:space="0" w:color="auto"/>
            <w:right w:val="none" w:sz="0" w:space="0" w:color="auto"/>
          </w:divBdr>
        </w:div>
        <w:div w:id="1198927386">
          <w:marLeft w:val="0"/>
          <w:marRight w:val="0"/>
          <w:marTop w:val="0"/>
          <w:marBottom w:val="101"/>
          <w:divBdr>
            <w:top w:val="none" w:sz="0" w:space="0" w:color="auto"/>
            <w:left w:val="none" w:sz="0" w:space="0" w:color="auto"/>
            <w:bottom w:val="none" w:sz="0" w:space="0" w:color="auto"/>
            <w:right w:val="none" w:sz="0" w:space="0" w:color="auto"/>
          </w:divBdr>
        </w:div>
        <w:div w:id="1006595017">
          <w:marLeft w:val="0"/>
          <w:marRight w:val="0"/>
          <w:marTop w:val="0"/>
          <w:marBottom w:val="101"/>
          <w:divBdr>
            <w:top w:val="none" w:sz="0" w:space="0" w:color="auto"/>
            <w:left w:val="none" w:sz="0" w:space="0" w:color="auto"/>
            <w:bottom w:val="none" w:sz="0" w:space="0" w:color="auto"/>
            <w:right w:val="none" w:sz="0" w:space="0" w:color="auto"/>
          </w:divBdr>
        </w:div>
        <w:div w:id="644167221">
          <w:marLeft w:val="0"/>
          <w:marRight w:val="0"/>
          <w:marTop w:val="0"/>
          <w:marBottom w:val="101"/>
          <w:divBdr>
            <w:top w:val="none" w:sz="0" w:space="0" w:color="auto"/>
            <w:left w:val="none" w:sz="0" w:space="0" w:color="auto"/>
            <w:bottom w:val="none" w:sz="0" w:space="0" w:color="auto"/>
            <w:right w:val="none" w:sz="0" w:space="0" w:color="auto"/>
          </w:divBdr>
        </w:div>
        <w:div w:id="682632486">
          <w:marLeft w:val="0"/>
          <w:marRight w:val="0"/>
          <w:marTop w:val="0"/>
          <w:marBottom w:val="101"/>
          <w:divBdr>
            <w:top w:val="none" w:sz="0" w:space="0" w:color="auto"/>
            <w:left w:val="none" w:sz="0" w:space="0" w:color="auto"/>
            <w:bottom w:val="none" w:sz="0" w:space="0" w:color="auto"/>
            <w:right w:val="none" w:sz="0" w:space="0" w:color="auto"/>
          </w:divBdr>
        </w:div>
        <w:div w:id="885288765">
          <w:marLeft w:val="0"/>
          <w:marRight w:val="0"/>
          <w:marTop w:val="0"/>
          <w:marBottom w:val="101"/>
          <w:divBdr>
            <w:top w:val="none" w:sz="0" w:space="0" w:color="auto"/>
            <w:left w:val="none" w:sz="0" w:space="0" w:color="auto"/>
            <w:bottom w:val="none" w:sz="0" w:space="0" w:color="auto"/>
            <w:right w:val="none" w:sz="0" w:space="0" w:color="auto"/>
          </w:divBdr>
        </w:div>
        <w:div w:id="379403848">
          <w:marLeft w:val="0"/>
          <w:marRight w:val="0"/>
          <w:marTop w:val="0"/>
          <w:marBottom w:val="101"/>
          <w:divBdr>
            <w:top w:val="none" w:sz="0" w:space="0" w:color="auto"/>
            <w:left w:val="none" w:sz="0" w:space="0" w:color="auto"/>
            <w:bottom w:val="none" w:sz="0" w:space="0" w:color="auto"/>
            <w:right w:val="none" w:sz="0" w:space="0" w:color="auto"/>
          </w:divBdr>
        </w:div>
        <w:div w:id="1594708632">
          <w:marLeft w:val="0"/>
          <w:marRight w:val="0"/>
          <w:marTop w:val="0"/>
          <w:marBottom w:val="101"/>
          <w:divBdr>
            <w:top w:val="none" w:sz="0" w:space="0" w:color="auto"/>
            <w:left w:val="none" w:sz="0" w:space="0" w:color="auto"/>
            <w:bottom w:val="none" w:sz="0" w:space="0" w:color="auto"/>
            <w:right w:val="none" w:sz="0" w:space="0" w:color="auto"/>
          </w:divBdr>
        </w:div>
        <w:div w:id="790320449">
          <w:marLeft w:val="0"/>
          <w:marRight w:val="0"/>
          <w:marTop w:val="0"/>
          <w:marBottom w:val="101"/>
          <w:divBdr>
            <w:top w:val="none" w:sz="0" w:space="0" w:color="auto"/>
            <w:left w:val="none" w:sz="0" w:space="0" w:color="auto"/>
            <w:bottom w:val="none" w:sz="0" w:space="0" w:color="auto"/>
            <w:right w:val="none" w:sz="0" w:space="0" w:color="auto"/>
          </w:divBdr>
        </w:div>
        <w:div w:id="1085031364">
          <w:marLeft w:val="0"/>
          <w:marRight w:val="0"/>
          <w:marTop w:val="101"/>
          <w:marBottom w:val="101"/>
          <w:divBdr>
            <w:top w:val="none" w:sz="0" w:space="0" w:color="auto"/>
            <w:left w:val="none" w:sz="0" w:space="0" w:color="auto"/>
            <w:bottom w:val="none" w:sz="0" w:space="0" w:color="auto"/>
            <w:right w:val="none" w:sz="0" w:space="0" w:color="auto"/>
          </w:divBdr>
        </w:div>
        <w:div w:id="1531914145">
          <w:marLeft w:val="0"/>
          <w:marRight w:val="0"/>
          <w:marTop w:val="0"/>
          <w:marBottom w:val="101"/>
          <w:divBdr>
            <w:top w:val="none" w:sz="0" w:space="0" w:color="auto"/>
            <w:left w:val="none" w:sz="0" w:space="0" w:color="auto"/>
            <w:bottom w:val="none" w:sz="0" w:space="0" w:color="auto"/>
            <w:right w:val="none" w:sz="0" w:space="0" w:color="auto"/>
          </w:divBdr>
        </w:div>
        <w:div w:id="1415739592">
          <w:marLeft w:val="0"/>
          <w:marRight w:val="0"/>
          <w:marTop w:val="0"/>
          <w:marBottom w:val="101"/>
          <w:divBdr>
            <w:top w:val="none" w:sz="0" w:space="0" w:color="auto"/>
            <w:left w:val="none" w:sz="0" w:space="0" w:color="auto"/>
            <w:bottom w:val="none" w:sz="0" w:space="0" w:color="auto"/>
            <w:right w:val="none" w:sz="0" w:space="0" w:color="auto"/>
          </w:divBdr>
        </w:div>
        <w:div w:id="906182872">
          <w:marLeft w:val="0"/>
          <w:marRight w:val="0"/>
          <w:marTop w:val="0"/>
          <w:marBottom w:val="101"/>
          <w:divBdr>
            <w:top w:val="none" w:sz="0" w:space="0" w:color="auto"/>
            <w:left w:val="none" w:sz="0" w:space="0" w:color="auto"/>
            <w:bottom w:val="none" w:sz="0" w:space="0" w:color="auto"/>
            <w:right w:val="none" w:sz="0" w:space="0" w:color="auto"/>
          </w:divBdr>
        </w:div>
        <w:div w:id="1209996699">
          <w:marLeft w:val="0"/>
          <w:marRight w:val="0"/>
          <w:marTop w:val="0"/>
          <w:marBottom w:val="101"/>
          <w:divBdr>
            <w:top w:val="none" w:sz="0" w:space="0" w:color="auto"/>
            <w:left w:val="none" w:sz="0" w:space="0" w:color="auto"/>
            <w:bottom w:val="none" w:sz="0" w:space="0" w:color="auto"/>
            <w:right w:val="none" w:sz="0" w:space="0" w:color="auto"/>
          </w:divBdr>
        </w:div>
        <w:div w:id="1618639433">
          <w:marLeft w:val="0"/>
          <w:marRight w:val="0"/>
          <w:marTop w:val="0"/>
          <w:marBottom w:val="101"/>
          <w:divBdr>
            <w:top w:val="none" w:sz="0" w:space="0" w:color="auto"/>
            <w:left w:val="none" w:sz="0" w:space="0" w:color="auto"/>
            <w:bottom w:val="none" w:sz="0" w:space="0" w:color="auto"/>
            <w:right w:val="none" w:sz="0" w:space="0" w:color="auto"/>
          </w:divBdr>
        </w:div>
        <w:div w:id="1919243067">
          <w:marLeft w:val="0"/>
          <w:marRight w:val="0"/>
          <w:marTop w:val="0"/>
          <w:marBottom w:val="101"/>
          <w:divBdr>
            <w:top w:val="none" w:sz="0" w:space="0" w:color="auto"/>
            <w:left w:val="none" w:sz="0" w:space="0" w:color="auto"/>
            <w:bottom w:val="none" w:sz="0" w:space="0" w:color="auto"/>
            <w:right w:val="none" w:sz="0" w:space="0" w:color="auto"/>
          </w:divBdr>
        </w:div>
        <w:div w:id="749817097">
          <w:marLeft w:val="0"/>
          <w:marRight w:val="0"/>
          <w:marTop w:val="0"/>
          <w:marBottom w:val="101"/>
          <w:divBdr>
            <w:top w:val="none" w:sz="0" w:space="0" w:color="auto"/>
            <w:left w:val="none" w:sz="0" w:space="0" w:color="auto"/>
            <w:bottom w:val="none" w:sz="0" w:space="0" w:color="auto"/>
            <w:right w:val="none" w:sz="0" w:space="0" w:color="auto"/>
          </w:divBdr>
        </w:div>
        <w:div w:id="1994018261">
          <w:marLeft w:val="0"/>
          <w:marRight w:val="0"/>
          <w:marTop w:val="101"/>
          <w:marBottom w:val="101"/>
          <w:divBdr>
            <w:top w:val="none" w:sz="0" w:space="0" w:color="auto"/>
            <w:left w:val="none" w:sz="0" w:space="0" w:color="auto"/>
            <w:bottom w:val="none" w:sz="0" w:space="0" w:color="auto"/>
            <w:right w:val="none" w:sz="0" w:space="0" w:color="auto"/>
          </w:divBdr>
        </w:div>
        <w:div w:id="352922412">
          <w:marLeft w:val="0"/>
          <w:marRight w:val="0"/>
          <w:marTop w:val="0"/>
          <w:marBottom w:val="101"/>
          <w:divBdr>
            <w:top w:val="none" w:sz="0" w:space="0" w:color="auto"/>
            <w:left w:val="none" w:sz="0" w:space="0" w:color="auto"/>
            <w:bottom w:val="none" w:sz="0" w:space="0" w:color="auto"/>
            <w:right w:val="none" w:sz="0" w:space="0" w:color="auto"/>
          </w:divBdr>
        </w:div>
        <w:div w:id="1472626484">
          <w:marLeft w:val="0"/>
          <w:marRight w:val="0"/>
          <w:marTop w:val="0"/>
          <w:marBottom w:val="101"/>
          <w:divBdr>
            <w:top w:val="none" w:sz="0" w:space="0" w:color="auto"/>
            <w:left w:val="none" w:sz="0" w:space="0" w:color="auto"/>
            <w:bottom w:val="none" w:sz="0" w:space="0" w:color="auto"/>
            <w:right w:val="none" w:sz="0" w:space="0" w:color="auto"/>
          </w:divBdr>
        </w:div>
        <w:div w:id="510994974">
          <w:marLeft w:val="0"/>
          <w:marRight w:val="0"/>
          <w:marTop w:val="0"/>
          <w:marBottom w:val="101"/>
          <w:divBdr>
            <w:top w:val="none" w:sz="0" w:space="0" w:color="auto"/>
            <w:left w:val="none" w:sz="0" w:space="0" w:color="auto"/>
            <w:bottom w:val="none" w:sz="0" w:space="0" w:color="auto"/>
            <w:right w:val="none" w:sz="0" w:space="0" w:color="auto"/>
          </w:divBdr>
        </w:div>
        <w:div w:id="1456364602">
          <w:marLeft w:val="0"/>
          <w:marRight w:val="0"/>
          <w:marTop w:val="101"/>
          <w:marBottom w:val="101"/>
          <w:divBdr>
            <w:top w:val="none" w:sz="0" w:space="0" w:color="auto"/>
            <w:left w:val="none" w:sz="0" w:space="0" w:color="auto"/>
            <w:bottom w:val="none" w:sz="0" w:space="0" w:color="auto"/>
            <w:right w:val="none" w:sz="0" w:space="0" w:color="auto"/>
          </w:divBdr>
        </w:div>
        <w:div w:id="773403101">
          <w:marLeft w:val="0"/>
          <w:marRight w:val="0"/>
          <w:marTop w:val="0"/>
          <w:marBottom w:val="101"/>
          <w:divBdr>
            <w:top w:val="none" w:sz="0" w:space="0" w:color="auto"/>
            <w:left w:val="none" w:sz="0" w:space="0" w:color="auto"/>
            <w:bottom w:val="none" w:sz="0" w:space="0" w:color="auto"/>
            <w:right w:val="none" w:sz="0" w:space="0" w:color="auto"/>
          </w:divBdr>
        </w:div>
        <w:div w:id="347175022">
          <w:marLeft w:val="0"/>
          <w:marRight w:val="0"/>
          <w:marTop w:val="0"/>
          <w:marBottom w:val="101"/>
          <w:divBdr>
            <w:top w:val="none" w:sz="0" w:space="0" w:color="auto"/>
            <w:left w:val="none" w:sz="0" w:space="0" w:color="auto"/>
            <w:bottom w:val="none" w:sz="0" w:space="0" w:color="auto"/>
            <w:right w:val="none" w:sz="0" w:space="0" w:color="auto"/>
          </w:divBdr>
        </w:div>
        <w:div w:id="1333600777">
          <w:marLeft w:val="0"/>
          <w:marRight w:val="0"/>
          <w:marTop w:val="0"/>
          <w:marBottom w:val="101"/>
          <w:divBdr>
            <w:top w:val="none" w:sz="0" w:space="0" w:color="auto"/>
            <w:left w:val="none" w:sz="0" w:space="0" w:color="auto"/>
            <w:bottom w:val="none" w:sz="0" w:space="0" w:color="auto"/>
            <w:right w:val="none" w:sz="0" w:space="0" w:color="auto"/>
          </w:divBdr>
        </w:div>
        <w:div w:id="964627088">
          <w:marLeft w:val="0"/>
          <w:marRight w:val="0"/>
          <w:marTop w:val="0"/>
          <w:marBottom w:val="101"/>
          <w:divBdr>
            <w:top w:val="none" w:sz="0" w:space="0" w:color="auto"/>
            <w:left w:val="none" w:sz="0" w:space="0" w:color="auto"/>
            <w:bottom w:val="none" w:sz="0" w:space="0" w:color="auto"/>
            <w:right w:val="none" w:sz="0" w:space="0" w:color="auto"/>
          </w:divBdr>
        </w:div>
        <w:div w:id="883953072">
          <w:marLeft w:val="0"/>
          <w:marRight w:val="0"/>
          <w:marTop w:val="0"/>
          <w:marBottom w:val="101"/>
          <w:divBdr>
            <w:top w:val="none" w:sz="0" w:space="0" w:color="auto"/>
            <w:left w:val="none" w:sz="0" w:space="0" w:color="auto"/>
            <w:bottom w:val="none" w:sz="0" w:space="0" w:color="auto"/>
            <w:right w:val="none" w:sz="0" w:space="0" w:color="auto"/>
          </w:divBdr>
        </w:div>
        <w:div w:id="497964948">
          <w:marLeft w:val="0"/>
          <w:marRight w:val="0"/>
          <w:marTop w:val="0"/>
          <w:marBottom w:val="101"/>
          <w:divBdr>
            <w:top w:val="none" w:sz="0" w:space="0" w:color="auto"/>
            <w:left w:val="none" w:sz="0" w:space="0" w:color="auto"/>
            <w:bottom w:val="none" w:sz="0" w:space="0" w:color="auto"/>
            <w:right w:val="none" w:sz="0" w:space="0" w:color="auto"/>
          </w:divBdr>
        </w:div>
        <w:div w:id="1959792289">
          <w:marLeft w:val="0"/>
          <w:marRight w:val="0"/>
          <w:marTop w:val="0"/>
          <w:marBottom w:val="101"/>
          <w:divBdr>
            <w:top w:val="none" w:sz="0" w:space="0" w:color="auto"/>
            <w:left w:val="none" w:sz="0" w:space="0" w:color="auto"/>
            <w:bottom w:val="none" w:sz="0" w:space="0" w:color="auto"/>
            <w:right w:val="none" w:sz="0" w:space="0" w:color="auto"/>
          </w:divBdr>
        </w:div>
        <w:div w:id="1407798405">
          <w:marLeft w:val="0"/>
          <w:marRight w:val="0"/>
          <w:marTop w:val="0"/>
          <w:marBottom w:val="101"/>
          <w:divBdr>
            <w:top w:val="none" w:sz="0" w:space="0" w:color="auto"/>
            <w:left w:val="none" w:sz="0" w:space="0" w:color="auto"/>
            <w:bottom w:val="none" w:sz="0" w:space="0" w:color="auto"/>
            <w:right w:val="none" w:sz="0" w:space="0" w:color="auto"/>
          </w:divBdr>
        </w:div>
        <w:div w:id="628129036">
          <w:marLeft w:val="0"/>
          <w:marRight w:val="0"/>
          <w:marTop w:val="0"/>
          <w:marBottom w:val="101"/>
          <w:divBdr>
            <w:top w:val="none" w:sz="0" w:space="0" w:color="auto"/>
            <w:left w:val="none" w:sz="0" w:space="0" w:color="auto"/>
            <w:bottom w:val="none" w:sz="0" w:space="0" w:color="auto"/>
            <w:right w:val="none" w:sz="0" w:space="0" w:color="auto"/>
          </w:divBdr>
        </w:div>
        <w:div w:id="1337073687">
          <w:marLeft w:val="0"/>
          <w:marRight w:val="0"/>
          <w:marTop w:val="0"/>
          <w:marBottom w:val="101"/>
          <w:divBdr>
            <w:top w:val="none" w:sz="0" w:space="0" w:color="auto"/>
            <w:left w:val="none" w:sz="0" w:space="0" w:color="auto"/>
            <w:bottom w:val="none" w:sz="0" w:space="0" w:color="auto"/>
            <w:right w:val="none" w:sz="0" w:space="0" w:color="auto"/>
          </w:divBdr>
        </w:div>
        <w:div w:id="625820237">
          <w:marLeft w:val="0"/>
          <w:marRight w:val="0"/>
          <w:marTop w:val="0"/>
          <w:marBottom w:val="101"/>
          <w:divBdr>
            <w:top w:val="none" w:sz="0" w:space="0" w:color="auto"/>
            <w:left w:val="none" w:sz="0" w:space="0" w:color="auto"/>
            <w:bottom w:val="none" w:sz="0" w:space="0" w:color="auto"/>
            <w:right w:val="none" w:sz="0" w:space="0" w:color="auto"/>
          </w:divBdr>
        </w:div>
        <w:div w:id="640228534">
          <w:marLeft w:val="0"/>
          <w:marRight w:val="0"/>
          <w:marTop w:val="0"/>
          <w:marBottom w:val="101"/>
          <w:divBdr>
            <w:top w:val="none" w:sz="0" w:space="0" w:color="auto"/>
            <w:left w:val="none" w:sz="0" w:space="0" w:color="auto"/>
            <w:bottom w:val="none" w:sz="0" w:space="0" w:color="auto"/>
            <w:right w:val="none" w:sz="0" w:space="0" w:color="auto"/>
          </w:divBdr>
        </w:div>
        <w:div w:id="2001615248">
          <w:marLeft w:val="0"/>
          <w:marRight w:val="0"/>
          <w:marTop w:val="0"/>
          <w:marBottom w:val="101"/>
          <w:divBdr>
            <w:top w:val="none" w:sz="0" w:space="0" w:color="auto"/>
            <w:left w:val="none" w:sz="0" w:space="0" w:color="auto"/>
            <w:bottom w:val="none" w:sz="0" w:space="0" w:color="auto"/>
            <w:right w:val="none" w:sz="0" w:space="0" w:color="auto"/>
          </w:divBdr>
        </w:div>
        <w:div w:id="1896892529">
          <w:marLeft w:val="0"/>
          <w:marRight w:val="0"/>
          <w:marTop w:val="0"/>
          <w:marBottom w:val="101"/>
          <w:divBdr>
            <w:top w:val="none" w:sz="0" w:space="0" w:color="auto"/>
            <w:left w:val="none" w:sz="0" w:space="0" w:color="auto"/>
            <w:bottom w:val="none" w:sz="0" w:space="0" w:color="auto"/>
            <w:right w:val="none" w:sz="0" w:space="0" w:color="auto"/>
          </w:divBdr>
        </w:div>
        <w:div w:id="851257431">
          <w:marLeft w:val="0"/>
          <w:marRight w:val="0"/>
          <w:marTop w:val="0"/>
          <w:marBottom w:val="101"/>
          <w:divBdr>
            <w:top w:val="none" w:sz="0" w:space="0" w:color="auto"/>
            <w:left w:val="none" w:sz="0" w:space="0" w:color="auto"/>
            <w:bottom w:val="none" w:sz="0" w:space="0" w:color="auto"/>
            <w:right w:val="none" w:sz="0" w:space="0" w:color="auto"/>
          </w:divBdr>
        </w:div>
        <w:div w:id="445120846">
          <w:marLeft w:val="0"/>
          <w:marRight w:val="0"/>
          <w:marTop w:val="0"/>
          <w:marBottom w:val="101"/>
          <w:divBdr>
            <w:top w:val="none" w:sz="0" w:space="0" w:color="auto"/>
            <w:left w:val="none" w:sz="0" w:space="0" w:color="auto"/>
            <w:bottom w:val="none" w:sz="0" w:space="0" w:color="auto"/>
            <w:right w:val="none" w:sz="0" w:space="0" w:color="auto"/>
          </w:divBdr>
        </w:div>
        <w:div w:id="119765531">
          <w:marLeft w:val="0"/>
          <w:marRight w:val="0"/>
          <w:marTop w:val="0"/>
          <w:marBottom w:val="101"/>
          <w:divBdr>
            <w:top w:val="none" w:sz="0" w:space="0" w:color="auto"/>
            <w:left w:val="none" w:sz="0" w:space="0" w:color="auto"/>
            <w:bottom w:val="none" w:sz="0" w:space="0" w:color="auto"/>
            <w:right w:val="none" w:sz="0" w:space="0" w:color="auto"/>
          </w:divBdr>
        </w:div>
        <w:div w:id="411044614">
          <w:marLeft w:val="0"/>
          <w:marRight w:val="0"/>
          <w:marTop w:val="0"/>
          <w:marBottom w:val="101"/>
          <w:divBdr>
            <w:top w:val="none" w:sz="0" w:space="0" w:color="auto"/>
            <w:left w:val="none" w:sz="0" w:space="0" w:color="auto"/>
            <w:bottom w:val="none" w:sz="0" w:space="0" w:color="auto"/>
            <w:right w:val="none" w:sz="0" w:space="0" w:color="auto"/>
          </w:divBdr>
        </w:div>
        <w:div w:id="1628438551">
          <w:marLeft w:val="0"/>
          <w:marRight w:val="0"/>
          <w:marTop w:val="0"/>
          <w:marBottom w:val="101"/>
          <w:divBdr>
            <w:top w:val="none" w:sz="0" w:space="0" w:color="auto"/>
            <w:left w:val="none" w:sz="0" w:space="0" w:color="auto"/>
            <w:bottom w:val="none" w:sz="0" w:space="0" w:color="auto"/>
            <w:right w:val="none" w:sz="0" w:space="0" w:color="auto"/>
          </w:divBdr>
        </w:div>
        <w:div w:id="1873570620">
          <w:marLeft w:val="0"/>
          <w:marRight w:val="0"/>
          <w:marTop w:val="0"/>
          <w:marBottom w:val="101"/>
          <w:divBdr>
            <w:top w:val="none" w:sz="0" w:space="0" w:color="auto"/>
            <w:left w:val="none" w:sz="0" w:space="0" w:color="auto"/>
            <w:bottom w:val="none" w:sz="0" w:space="0" w:color="auto"/>
            <w:right w:val="none" w:sz="0" w:space="0" w:color="auto"/>
          </w:divBdr>
        </w:div>
        <w:div w:id="20449369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3438</Words>
  <Characters>18914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2021-12-16T14:32:00Z</dcterms:created>
  <dcterms:modified xsi:type="dcterms:W3CDTF">2021-12-16T14:50:00Z</dcterms:modified>
</cp:coreProperties>
</file>