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 la fracción II del artículo 73 de la Ley General de Transparencia y Acceso a la Información Pública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GENERAL DE LOS ESTADOS UNIDOS MEXICANOS, D E C R E T A: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REFORMA LA FRACCIÓN II DEL ARTÍCULO 73 DE LA LEY GENERAL DE TRANSPARENCIA Y ACCESO A LA INFORMACIÓN PÚBLICA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 la fracción II del artículo 73 de la Ley General de Transparencia y Acceso a la Información Pública, para quedar como sigue: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73.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Además de lo señalado en el artículo 70 de la presente Ley, los sujetos obligados de los Poderes Judiciales Federal y de las Entidades Federativas deberán poner a disposición del público y actualizar la siguiente información: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left="440"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left="440"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  Las versiones públicas de todas las sentencias emitidas;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left="440"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III.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V. ...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Decreto entrará en vigor a los 180 días posteriores a su publicación en el Diario Oficial de la Federación.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Los Poderes Judiciales Federal y de las Entidades Federativas, contarán con un plazo de 180 días para iniciar la publicación de las versiones públicas del texto íntegro de las sentencias emitidas, a partir de la entrada en vigor del presente Decreto.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de la Unión y los Congresos de las Entidades Federativas tendrán un plazo de 180 días, contados a partir de la publicación del presente Decreto, para realizar las adecuaciones normativas correspondientes, de conformidad con lo previsto en el presente Decreto.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29 de julio de 2020.-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Mónica Fernández Balboa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Laura Angélica Rojas Hernández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Nancy de la Sierra Arámburo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Maribel Martínez Ruiz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11 de agosto de 2020.-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