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46" w:rsidRPr="00841D9A" w:rsidRDefault="00C91A46" w:rsidP="00C91A46">
      <w:pPr>
        <w:jc w:val="center"/>
        <w:rPr>
          <w:rFonts w:ascii="Verdana" w:eastAsia="Verdana" w:hAnsi="Verdana" w:cs="Verdana"/>
          <w:b/>
          <w:color w:val="0000FF"/>
          <w:sz w:val="24"/>
          <w:szCs w:val="24"/>
        </w:rPr>
      </w:pPr>
      <w:r w:rsidRPr="00C91A46">
        <w:rPr>
          <w:rFonts w:ascii="Verdana" w:eastAsia="Verdana" w:hAnsi="Verdana" w:cs="Verdana"/>
          <w:b/>
          <w:color w:val="0000FF"/>
          <w:sz w:val="24"/>
          <w:szCs w:val="24"/>
        </w:rPr>
        <w:t>ACUERDO General 100/2022 del Pleno del Consejo de la Judicatura Federal, relativo a la conclusión de funciones del Primer Tribunal Colegiado de Circuito del Centro Auxiliar de la Décima Primera Región, con residencia en Coatzacoalcos, Veracruz;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C91A46" w:rsidRDefault="00C91A46" w:rsidP="00C91A46">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6"/>
          <w:szCs w:val="16"/>
          <w:lang w:eastAsia="es-MX"/>
        </w:rPr>
      </w:pPr>
      <w:r w:rsidRPr="00C91A46">
        <w:rPr>
          <w:rFonts w:ascii="Arial" w:eastAsia="Times New Roman" w:hAnsi="Arial" w:cs="Arial"/>
          <w:color w:val="2F2F2F"/>
          <w:sz w:val="16"/>
          <w:szCs w:val="16"/>
          <w:lang w:eastAsia="es-MX"/>
        </w:rPr>
        <w:t>ACUERDO GENERAL 100/2022, DEL PLENO DEL CONSEJO DE LA JUDICATURA FEDERAL, RELATIVO A LA CONCLUSIÓN DE FUNCIONES DEL PRIMER TRIBUNAL COLEGIADO DE CIRCUITO DEL CENTRO AUXILIAR DE LA DÉCIMA PRIMERA REGIÓN, CON RESIDENCIA EN COATZACOALCOS, VERACRUZ; Y QUE REFORMA DIVERSOS ACUERDOS GENERALES.</w:t>
      </w:r>
    </w:p>
    <w:p w:rsidR="00C91A46" w:rsidRPr="00C91A46" w:rsidRDefault="00C91A46" w:rsidP="00C91A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A46">
        <w:rPr>
          <w:rFonts w:ascii="Times" w:eastAsia="Times New Roman" w:hAnsi="Times" w:cs="Times"/>
          <w:b/>
          <w:bCs/>
          <w:color w:val="2F2F2F"/>
          <w:sz w:val="18"/>
          <w:szCs w:val="18"/>
          <w:lang w:eastAsia="es-MX"/>
        </w:rPr>
        <w:t>CONSIDERANDO</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PRIMERO.</w:t>
      </w:r>
      <w:r w:rsidRPr="00C91A4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SEGUNDO.</w:t>
      </w:r>
      <w:r w:rsidRPr="00C91A46">
        <w:rPr>
          <w:rFonts w:ascii="Arial" w:eastAsia="Times New Roman" w:hAnsi="Arial" w:cs="Arial"/>
          <w:color w:val="2F2F2F"/>
          <w:sz w:val="18"/>
          <w:szCs w:val="18"/>
          <w:lang w:eastAsia="es-MX"/>
        </w:rPr>
        <w:t> Los artículos 94, párrafo sexto, de la Constitución Política de los Estados Unidos Mexicanos; 86, fracciones III y IV de la Ley Orgánica del Poder Judicial de la Federación, establecen que son atribuciones del Consejo de la Judicatura Federal determinar el número, límites territoriales y, en su caso, especialización por materia de los Tribunales Colegiados de Apelación en ceda uno de los circuitos;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TERCERO.</w:t>
      </w:r>
      <w:r w:rsidRPr="00C91A46">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CUARTO.</w:t>
      </w:r>
      <w:r w:rsidRPr="00C91A46">
        <w:rPr>
          <w:rFonts w:ascii="Arial" w:eastAsia="Times New Roman" w:hAnsi="Arial" w:cs="Arial"/>
          <w:color w:val="2F2F2F"/>
          <w:sz w:val="18"/>
          <w:szCs w:val="18"/>
          <w:lang w:eastAsia="es-MX"/>
        </w:rPr>
        <w:t xml:space="preserve"> El 11 de marzo de 2021 se emitió el Decreto por el que se declara reformadas y adicionadas diversas disposiciones de la Constitución Política de los Estados Unidos </w:t>
      </w:r>
      <w:proofErr w:type="gramStart"/>
      <w:r w:rsidRPr="00C91A46">
        <w:rPr>
          <w:rFonts w:ascii="Arial" w:eastAsia="Times New Roman" w:hAnsi="Arial" w:cs="Arial"/>
          <w:color w:val="2F2F2F"/>
          <w:sz w:val="18"/>
          <w:szCs w:val="18"/>
          <w:lang w:eastAsia="es-MX"/>
        </w:rPr>
        <w:t>Mexicanos</w:t>
      </w:r>
      <w:proofErr w:type="gramEnd"/>
      <w:r w:rsidRPr="00C91A46">
        <w:rPr>
          <w:rFonts w:ascii="Arial" w:eastAsia="Times New Roman" w:hAnsi="Arial" w:cs="Arial"/>
          <w:color w:val="2F2F2F"/>
          <w:sz w:val="18"/>
          <w:szCs w:val="18"/>
          <w:lang w:eastAsia="es-MX"/>
        </w:rPr>
        <w:t>,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Circuito, considerando que en cada entidad debe haber al menos uno de éstos;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QUINTO.</w:t>
      </w:r>
      <w:r w:rsidRPr="00C91A46">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emitió el Acuerdo General 24/2022, que reglamenta la integración, organización y funcionamiento de los Tribunales Colegiados de Apelación; y</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SEXTO.</w:t>
      </w:r>
      <w:r w:rsidRPr="00C91A46">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Primer Tribunal Colegiado de Circuito del Centro Auxiliar de la Decimoprimera Región, con residencia en Coatzacoalcos, Veracruz.</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color w:val="2F2F2F"/>
          <w:sz w:val="18"/>
          <w:szCs w:val="18"/>
          <w:lang w:eastAsia="es-MX"/>
        </w:rPr>
        <w:t>Por lo anterior, se expide el siguiente</w:t>
      </w:r>
    </w:p>
    <w:p w:rsidR="00C91A46" w:rsidRPr="00C91A46" w:rsidRDefault="00C91A46" w:rsidP="00C91A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A46">
        <w:rPr>
          <w:rFonts w:ascii="Times" w:eastAsia="Times New Roman" w:hAnsi="Times" w:cs="Times"/>
          <w:b/>
          <w:bCs/>
          <w:color w:val="2F2F2F"/>
          <w:sz w:val="18"/>
          <w:szCs w:val="18"/>
          <w:lang w:eastAsia="es-MX"/>
        </w:rPr>
        <w:t>ACUERDO</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1.</w:t>
      </w:r>
      <w:r w:rsidRPr="00C91A46">
        <w:rPr>
          <w:rFonts w:ascii="Arial" w:eastAsia="Times New Roman" w:hAnsi="Arial" w:cs="Arial"/>
          <w:color w:val="2F2F2F"/>
          <w:sz w:val="18"/>
          <w:szCs w:val="18"/>
          <w:lang w:eastAsia="es-MX"/>
        </w:rPr>
        <w:t> El Primer Tribunal Colegiado de Circuito del Centro Auxiliar de la Décimo Primera Región, con residencia en Coatzacoalcos, Veracruz, concluye funciones a las veinticuatro horas del 15 de diciembre de 2022.</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2.</w:t>
      </w:r>
      <w:r w:rsidRPr="00C91A46">
        <w:rPr>
          <w:rFonts w:ascii="Arial" w:eastAsia="Times New Roman" w:hAnsi="Arial" w:cs="Arial"/>
          <w:color w:val="2F2F2F"/>
          <w:sz w:val="18"/>
          <w:szCs w:val="18"/>
          <w:lang w:eastAsia="es-MX"/>
        </w:rPr>
        <w:t> El Primer Tribunal Colegiado de Circuito del Centro Auxiliar de la Decimoprimera Región, deberá concluir los asuntos que tenga pendientes de resolución antes de finalizar actividades. Los asuntos que no se concluyan en el día previo a la conclusión de funciones, serán distribuidos entre los demás Tribunales Colegiados de Circuito de los Centros Auxiliares Regionales que continúen en funciones, de conformidad con lo informado por la Secretaría Ejecutiva de Creación de Nuevos Órganos, con base en las cargas de trabajo de los órganos jurisdiccionales.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lastRenderedPageBreak/>
        <w:t>Artículo 3.</w:t>
      </w:r>
      <w:r w:rsidRPr="00C91A46">
        <w:rPr>
          <w:rFonts w:ascii="Arial" w:eastAsia="Times New Roman" w:hAnsi="Arial" w:cs="Arial"/>
          <w:color w:val="2F2F2F"/>
          <w:sz w:val="18"/>
          <w:szCs w:val="18"/>
          <w:lang w:eastAsia="es-MX"/>
        </w:rPr>
        <w:t> La Presidenta o Presidente del Primer Tribunal Colegiado del Centro Auxiliar que concluye funciones, designará a la o el servidor público encargado de elaborar una relación de los asuntos de su competencia, en las que se enumeren los expedientes de forma consecutiva, por tipo de asunto y por orden de antigüedad. De igual forma, deben describirse los anexos, bienes, billetes de depósito, fianzas, valores y demás documentos. También deberá elaborar el acta de entrega-recepción de los expedientes y sus anexos, y entregará un tanto a la Dirección General de Gestión Judicial, otro lo enviará a la Secretaría Ejecutiva de Creación de Nuevos Órganos, la que les informará acerca de la forma de distribución de los asuntos pendientes, si los hubiere.</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4.</w:t>
      </w:r>
      <w:r w:rsidRPr="00C91A46">
        <w:rPr>
          <w:rFonts w:ascii="Arial" w:eastAsia="Times New Roman" w:hAnsi="Arial" w:cs="Arial"/>
          <w:color w:val="2F2F2F"/>
          <w:sz w:val="18"/>
          <w:szCs w:val="18"/>
          <w:lang w:eastAsia="es-MX"/>
        </w:rPr>
        <w:t> Los libros electrónicos de control y reportes estadísticos contenidos en el Sistema Integral de Seguimiento de Expedientes de los órganos jurisdiccionales que concluyen funciones deberán permanecer almacenados en el referido sistema.</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5.</w:t>
      </w:r>
      <w:r w:rsidRPr="00C91A46">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las personas Presidentas de cada Tribunal Colegiado de Circuito Auxiliar deberán cerciorarse de que ello se lleve a cabo.</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6. </w:t>
      </w:r>
      <w:r w:rsidRPr="00C91A46">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Artículo 7.</w:t>
      </w:r>
      <w:r w:rsidRPr="00C91A46">
        <w:rPr>
          <w:rFonts w:ascii="Arial" w:eastAsia="Times New Roman" w:hAnsi="Arial" w:cs="Arial"/>
          <w:color w:val="2F2F2F"/>
          <w:sz w:val="18"/>
          <w:szCs w:val="18"/>
          <w:lang w:eastAsia="es-MX"/>
        </w:rPr>
        <w:t> Se deroga el numeral QUINTO, punto 11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C91A46" w:rsidRPr="00C91A46" w:rsidRDefault="00C91A46" w:rsidP="00C91A46">
      <w:pPr>
        <w:shd w:val="clear" w:color="auto" w:fill="FFFFFF"/>
        <w:spacing w:after="101" w:line="240" w:lineRule="auto"/>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"QUINTO.</w:t>
      </w:r>
      <w:r w:rsidRPr="00C91A46">
        <w:rPr>
          <w:rFonts w:ascii="Arial" w:eastAsia="Times New Roman" w:hAnsi="Arial" w:cs="Arial"/>
          <w:color w:val="2F2F2F"/>
          <w:sz w:val="18"/>
          <w:szCs w:val="18"/>
          <w:lang w:eastAsia="es-MX"/>
        </w:rPr>
        <w:t> </w:t>
      </w:r>
      <w:r w:rsidRPr="00C91A46">
        <w:rPr>
          <w:rFonts w:ascii="Arial" w:eastAsia="Times New Roman" w:hAnsi="Arial" w:cs="Arial"/>
          <w:b/>
          <w:bCs/>
          <w:color w:val="2F2F2F"/>
          <w:sz w:val="18"/>
          <w:szCs w:val="18"/>
          <w:lang w:eastAsia="es-MX"/>
        </w:rPr>
        <w:t>...</w:t>
      </w:r>
    </w:p>
    <w:p w:rsidR="00C91A46" w:rsidRPr="00C91A46" w:rsidRDefault="00C91A46" w:rsidP="00C91A46">
      <w:pPr>
        <w:shd w:val="clear" w:color="auto" w:fill="FFFFFF"/>
        <w:spacing w:after="101" w:line="240" w:lineRule="auto"/>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1 </w:t>
      </w:r>
      <w:r w:rsidRPr="00C91A46">
        <w:rPr>
          <w:rFonts w:ascii="Arial" w:eastAsia="Times New Roman" w:hAnsi="Arial" w:cs="Arial"/>
          <w:color w:val="2F2F2F"/>
          <w:sz w:val="18"/>
          <w:szCs w:val="18"/>
          <w:lang w:eastAsia="es-MX"/>
        </w:rPr>
        <w:t>a</w:t>
      </w:r>
      <w:r w:rsidRPr="00C91A46">
        <w:rPr>
          <w:rFonts w:ascii="Arial" w:eastAsia="Times New Roman" w:hAnsi="Arial" w:cs="Arial"/>
          <w:b/>
          <w:bCs/>
          <w:color w:val="2F2F2F"/>
          <w:sz w:val="18"/>
          <w:szCs w:val="18"/>
          <w:lang w:eastAsia="es-MX"/>
        </w:rPr>
        <w:t> 10. ...</w:t>
      </w:r>
    </w:p>
    <w:p w:rsidR="00C91A46" w:rsidRPr="00C91A46" w:rsidRDefault="00C91A46" w:rsidP="00C91A46">
      <w:pPr>
        <w:shd w:val="clear" w:color="auto" w:fill="FFFFFF"/>
        <w:spacing w:after="101" w:line="240" w:lineRule="auto"/>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11.</w:t>
      </w:r>
      <w:r w:rsidRPr="00C91A46">
        <w:rPr>
          <w:rFonts w:ascii="Arial" w:eastAsia="Times New Roman" w:hAnsi="Arial" w:cs="Arial"/>
          <w:color w:val="2F2F2F"/>
          <w:sz w:val="18"/>
          <w:szCs w:val="18"/>
          <w:lang w:eastAsia="es-MX"/>
        </w:rPr>
        <w:t> (Derogado).</w:t>
      </w:r>
    </w:p>
    <w:p w:rsidR="00C91A46" w:rsidRPr="00C91A46" w:rsidRDefault="00C91A46" w:rsidP="00C91A46">
      <w:pPr>
        <w:shd w:val="clear" w:color="auto" w:fill="FFFFFF"/>
        <w:spacing w:after="101" w:line="240" w:lineRule="auto"/>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w:t>
      </w:r>
    </w:p>
    <w:p w:rsidR="00C91A46" w:rsidRPr="00C91A46" w:rsidRDefault="00C91A46" w:rsidP="00C91A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A46">
        <w:rPr>
          <w:rFonts w:ascii="Times" w:eastAsia="Times New Roman" w:hAnsi="Times" w:cs="Times"/>
          <w:b/>
          <w:bCs/>
          <w:color w:val="2F2F2F"/>
          <w:sz w:val="18"/>
          <w:szCs w:val="18"/>
          <w:lang w:eastAsia="es-MX"/>
        </w:rPr>
        <w:t>TRANSITORIOS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PRIMERO.</w:t>
      </w:r>
      <w:r w:rsidRPr="00C91A46">
        <w:rPr>
          <w:rFonts w:ascii="Arial" w:eastAsia="Times New Roman" w:hAnsi="Arial" w:cs="Arial"/>
          <w:color w:val="2F2F2F"/>
          <w:sz w:val="18"/>
          <w:szCs w:val="18"/>
          <w:lang w:eastAsia="es-MX"/>
        </w:rPr>
        <w:t> El presente Acuerdo entrará en vigor el día de su aprobación.</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SEGUNDO.</w:t>
      </w:r>
      <w:r w:rsidRPr="00C91A4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TERCERO.</w:t>
      </w:r>
      <w:r w:rsidRPr="00C91A46">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8"/>
          <w:szCs w:val="18"/>
          <w:lang w:eastAsia="es-MX"/>
        </w:rPr>
      </w:pPr>
      <w:r w:rsidRPr="00C91A46">
        <w:rPr>
          <w:rFonts w:ascii="Arial" w:eastAsia="Times New Roman" w:hAnsi="Arial" w:cs="Arial"/>
          <w:b/>
          <w:bCs/>
          <w:color w:val="2F2F2F"/>
          <w:sz w:val="18"/>
          <w:szCs w:val="18"/>
          <w:lang w:eastAsia="es-MX"/>
        </w:rPr>
        <w:t>CUARTO. </w:t>
      </w:r>
      <w:r w:rsidRPr="00C91A46">
        <w:rPr>
          <w:rFonts w:ascii="Arial" w:eastAsia="Times New Roman" w:hAnsi="Arial" w:cs="Arial"/>
          <w:color w:val="2F2F2F"/>
          <w:sz w:val="18"/>
          <w:szCs w:val="18"/>
          <w:lang w:eastAsia="es-MX"/>
        </w:rPr>
        <w:t>Se abroga Acuerdo General 33/2011 del Pleno del Consejo la Judicatura Federal, que crea el Centro Auxiliar de la Decimoprimera Región, con residencia en Coatzacoalcos, Veracruz, así como los Órganos jurisdiccionales que lo integrarán.</w:t>
      </w:r>
    </w:p>
    <w:p w:rsidR="00C91A46" w:rsidRPr="00C91A46" w:rsidRDefault="00C91A46" w:rsidP="00C91A46">
      <w:pPr>
        <w:shd w:val="clear" w:color="auto" w:fill="FFFFFF"/>
        <w:spacing w:after="101" w:line="240" w:lineRule="auto"/>
        <w:ind w:firstLine="288"/>
        <w:jc w:val="both"/>
        <w:rPr>
          <w:rFonts w:ascii="Arial" w:eastAsia="Times New Roman" w:hAnsi="Arial" w:cs="Arial"/>
          <w:color w:val="2F2F2F"/>
          <w:sz w:val="16"/>
          <w:szCs w:val="16"/>
          <w:lang w:eastAsia="es-MX"/>
        </w:rPr>
      </w:pPr>
      <w:r w:rsidRPr="00C91A46">
        <w:rPr>
          <w:rFonts w:ascii="Arial" w:eastAsia="Times New Roman" w:hAnsi="Arial" w:cs="Arial"/>
          <w:color w:val="2F2F2F"/>
          <w:sz w:val="16"/>
          <w:szCs w:val="16"/>
          <w:lang w:eastAsia="es-MX"/>
        </w:rPr>
        <w:t>EL LICENCIADO </w:t>
      </w:r>
      <w:r w:rsidRPr="00C91A46">
        <w:rPr>
          <w:rFonts w:ascii="Arial" w:eastAsia="Times New Roman" w:hAnsi="Arial" w:cs="Arial"/>
          <w:b/>
          <w:bCs/>
          <w:color w:val="2F2F2F"/>
          <w:sz w:val="16"/>
          <w:szCs w:val="16"/>
          <w:lang w:eastAsia="es-MX"/>
        </w:rPr>
        <w:t>ARTURO GUERRERO ZAZUETA</w:t>
      </w:r>
      <w:r w:rsidRPr="00C91A46">
        <w:rPr>
          <w:rFonts w:ascii="Arial" w:eastAsia="Times New Roman" w:hAnsi="Arial" w:cs="Arial"/>
          <w:color w:val="2F2F2F"/>
          <w:sz w:val="16"/>
          <w:szCs w:val="16"/>
          <w:lang w:eastAsia="es-MX"/>
        </w:rPr>
        <w:t xml:space="preserve">, SECRETARIO EJECUTIVO DEL PLENO DEL CONSEJO DE LA JUDICATURA FEDERAL, CERTIFICA: Que este Acuerdo General 100/2022, del Pleno del Consejo de la Judicatura Federal, relativo a la conclusión de funciones del Primer tribunal colegiado de circuito del centro auxiliar de la décima primera región, con residencia en Coatzacoalcos, Veracruz;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C91A46">
        <w:rPr>
          <w:rFonts w:ascii="Arial" w:eastAsia="Times New Roman" w:hAnsi="Arial" w:cs="Arial"/>
          <w:color w:val="2F2F2F"/>
          <w:sz w:val="16"/>
          <w:szCs w:val="16"/>
          <w:lang w:eastAsia="es-MX"/>
        </w:rPr>
        <w:t>Bátiz</w:t>
      </w:r>
      <w:proofErr w:type="spellEnd"/>
      <w:r w:rsidRPr="00C91A46">
        <w:rPr>
          <w:rFonts w:ascii="Arial" w:eastAsia="Times New Roman" w:hAnsi="Arial" w:cs="Arial"/>
          <w:color w:val="2F2F2F"/>
          <w:sz w:val="16"/>
          <w:szCs w:val="16"/>
          <w:lang w:eastAsia="es-MX"/>
        </w:rPr>
        <w:t xml:space="preserve"> Vázquez, Eva Verónica de </w:t>
      </w:r>
      <w:proofErr w:type="spellStart"/>
      <w:r w:rsidRPr="00C91A46">
        <w:rPr>
          <w:rFonts w:ascii="Arial" w:eastAsia="Times New Roman" w:hAnsi="Arial" w:cs="Arial"/>
          <w:color w:val="2F2F2F"/>
          <w:sz w:val="16"/>
          <w:szCs w:val="16"/>
          <w:lang w:eastAsia="es-MX"/>
        </w:rPr>
        <w:t>Gyvés</w:t>
      </w:r>
      <w:proofErr w:type="spellEnd"/>
      <w:r w:rsidRPr="00C91A46">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7445CE" w:rsidRDefault="007445CE"/>
    <w:sectPr w:rsidR="0074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46"/>
    <w:rsid w:val="007445CE"/>
    <w:rsid w:val="00C91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1839">
      <w:bodyDiv w:val="1"/>
      <w:marLeft w:val="0"/>
      <w:marRight w:val="0"/>
      <w:marTop w:val="0"/>
      <w:marBottom w:val="0"/>
      <w:divBdr>
        <w:top w:val="none" w:sz="0" w:space="0" w:color="auto"/>
        <w:left w:val="none" w:sz="0" w:space="0" w:color="auto"/>
        <w:bottom w:val="none" w:sz="0" w:space="0" w:color="auto"/>
        <w:right w:val="none" w:sz="0" w:space="0" w:color="auto"/>
      </w:divBdr>
      <w:divsChild>
        <w:div w:id="1570458908">
          <w:marLeft w:val="0"/>
          <w:marRight w:val="0"/>
          <w:marTop w:val="0"/>
          <w:marBottom w:val="101"/>
          <w:divBdr>
            <w:top w:val="none" w:sz="0" w:space="0" w:color="auto"/>
            <w:left w:val="none" w:sz="0" w:space="0" w:color="auto"/>
            <w:bottom w:val="none" w:sz="0" w:space="0" w:color="auto"/>
            <w:right w:val="none" w:sz="0" w:space="0" w:color="auto"/>
          </w:divBdr>
        </w:div>
        <w:div w:id="1373574323">
          <w:marLeft w:val="0"/>
          <w:marRight w:val="0"/>
          <w:marTop w:val="101"/>
          <w:marBottom w:val="101"/>
          <w:divBdr>
            <w:top w:val="none" w:sz="0" w:space="0" w:color="auto"/>
            <w:left w:val="none" w:sz="0" w:space="0" w:color="auto"/>
            <w:bottom w:val="none" w:sz="0" w:space="0" w:color="auto"/>
            <w:right w:val="none" w:sz="0" w:space="0" w:color="auto"/>
          </w:divBdr>
        </w:div>
        <w:div w:id="393892374">
          <w:marLeft w:val="0"/>
          <w:marRight w:val="0"/>
          <w:marTop w:val="0"/>
          <w:marBottom w:val="101"/>
          <w:divBdr>
            <w:top w:val="none" w:sz="0" w:space="0" w:color="auto"/>
            <w:left w:val="none" w:sz="0" w:space="0" w:color="auto"/>
            <w:bottom w:val="none" w:sz="0" w:space="0" w:color="auto"/>
            <w:right w:val="none" w:sz="0" w:space="0" w:color="auto"/>
          </w:divBdr>
        </w:div>
        <w:div w:id="1227498018">
          <w:marLeft w:val="0"/>
          <w:marRight w:val="0"/>
          <w:marTop w:val="0"/>
          <w:marBottom w:val="101"/>
          <w:divBdr>
            <w:top w:val="none" w:sz="0" w:space="0" w:color="auto"/>
            <w:left w:val="none" w:sz="0" w:space="0" w:color="auto"/>
            <w:bottom w:val="none" w:sz="0" w:space="0" w:color="auto"/>
            <w:right w:val="none" w:sz="0" w:space="0" w:color="auto"/>
          </w:divBdr>
        </w:div>
        <w:div w:id="64109463">
          <w:marLeft w:val="0"/>
          <w:marRight w:val="0"/>
          <w:marTop w:val="0"/>
          <w:marBottom w:val="101"/>
          <w:divBdr>
            <w:top w:val="none" w:sz="0" w:space="0" w:color="auto"/>
            <w:left w:val="none" w:sz="0" w:space="0" w:color="auto"/>
            <w:bottom w:val="none" w:sz="0" w:space="0" w:color="auto"/>
            <w:right w:val="none" w:sz="0" w:space="0" w:color="auto"/>
          </w:divBdr>
        </w:div>
        <w:div w:id="770203141">
          <w:marLeft w:val="0"/>
          <w:marRight w:val="0"/>
          <w:marTop w:val="0"/>
          <w:marBottom w:val="101"/>
          <w:divBdr>
            <w:top w:val="none" w:sz="0" w:space="0" w:color="auto"/>
            <w:left w:val="none" w:sz="0" w:space="0" w:color="auto"/>
            <w:bottom w:val="none" w:sz="0" w:space="0" w:color="auto"/>
            <w:right w:val="none" w:sz="0" w:space="0" w:color="auto"/>
          </w:divBdr>
        </w:div>
        <w:div w:id="322050199">
          <w:marLeft w:val="0"/>
          <w:marRight w:val="0"/>
          <w:marTop w:val="0"/>
          <w:marBottom w:val="101"/>
          <w:divBdr>
            <w:top w:val="none" w:sz="0" w:space="0" w:color="auto"/>
            <w:left w:val="none" w:sz="0" w:space="0" w:color="auto"/>
            <w:bottom w:val="none" w:sz="0" w:space="0" w:color="auto"/>
            <w:right w:val="none" w:sz="0" w:space="0" w:color="auto"/>
          </w:divBdr>
        </w:div>
        <w:div w:id="1958174698">
          <w:marLeft w:val="0"/>
          <w:marRight w:val="0"/>
          <w:marTop w:val="0"/>
          <w:marBottom w:val="101"/>
          <w:divBdr>
            <w:top w:val="none" w:sz="0" w:space="0" w:color="auto"/>
            <w:left w:val="none" w:sz="0" w:space="0" w:color="auto"/>
            <w:bottom w:val="none" w:sz="0" w:space="0" w:color="auto"/>
            <w:right w:val="none" w:sz="0" w:space="0" w:color="auto"/>
          </w:divBdr>
        </w:div>
        <w:div w:id="1175682553">
          <w:marLeft w:val="0"/>
          <w:marRight w:val="0"/>
          <w:marTop w:val="0"/>
          <w:marBottom w:val="101"/>
          <w:divBdr>
            <w:top w:val="none" w:sz="0" w:space="0" w:color="auto"/>
            <w:left w:val="none" w:sz="0" w:space="0" w:color="auto"/>
            <w:bottom w:val="none" w:sz="0" w:space="0" w:color="auto"/>
            <w:right w:val="none" w:sz="0" w:space="0" w:color="auto"/>
          </w:divBdr>
        </w:div>
        <w:div w:id="1442141178">
          <w:marLeft w:val="0"/>
          <w:marRight w:val="0"/>
          <w:marTop w:val="101"/>
          <w:marBottom w:val="101"/>
          <w:divBdr>
            <w:top w:val="none" w:sz="0" w:space="0" w:color="auto"/>
            <w:left w:val="none" w:sz="0" w:space="0" w:color="auto"/>
            <w:bottom w:val="none" w:sz="0" w:space="0" w:color="auto"/>
            <w:right w:val="none" w:sz="0" w:space="0" w:color="auto"/>
          </w:divBdr>
        </w:div>
        <w:div w:id="817498357">
          <w:marLeft w:val="0"/>
          <w:marRight w:val="0"/>
          <w:marTop w:val="0"/>
          <w:marBottom w:val="101"/>
          <w:divBdr>
            <w:top w:val="none" w:sz="0" w:space="0" w:color="auto"/>
            <w:left w:val="none" w:sz="0" w:space="0" w:color="auto"/>
            <w:bottom w:val="none" w:sz="0" w:space="0" w:color="auto"/>
            <w:right w:val="none" w:sz="0" w:space="0" w:color="auto"/>
          </w:divBdr>
        </w:div>
        <w:div w:id="377627380">
          <w:marLeft w:val="0"/>
          <w:marRight w:val="0"/>
          <w:marTop w:val="0"/>
          <w:marBottom w:val="101"/>
          <w:divBdr>
            <w:top w:val="none" w:sz="0" w:space="0" w:color="auto"/>
            <w:left w:val="none" w:sz="0" w:space="0" w:color="auto"/>
            <w:bottom w:val="none" w:sz="0" w:space="0" w:color="auto"/>
            <w:right w:val="none" w:sz="0" w:space="0" w:color="auto"/>
          </w:divBdr>
        </w:div>
        <w:div w:id="1847163573">
          <w:marLeft w:val="0"/>
          <w:marRight w:val="0"/>
          <w:marTop w:val="0"/>
          <w:marBottom w:val="101"/>
          <w:divBdr>
            <w:top w:val="none" w:sz="0" w:space="0" w:color="auto"/>
            <w:left w:val="none" w:sz="0" w:space="0" w:color="auto"/>
            <w:bottom w:val="none" w:sz="0" w:space="0" w:color="auto"/>
            <w:right w:val="none" w:sz="0" w:space="0" w:color="auto"/>
          </w:divBdr>
        </w:div>
        <w:div w:id="429787671">
          <w:marLeft w:val="0"/>
          <w:marRight w:val="0"/>
          <w:marTop w:val="0"/>
          <w:marBottom w:val="101"/>
          <w:divBdr>
            <w:top w:val="none" w:sz="0" w:space="0" w:color="auto"/>
            <w:left w:val="none" w:sz="0" w:space="0" w:color="auto"/>
            <w:bottom w:val="none" w:sz="0" w:space="0" w:color="auto"/>
            <w:right w:val="none" w:sz="0" w:space="0" w:color="auto"/>
          </w:divBdr>
        </w:div>
        <w:div w:id="531572431">
          <w:marLeft w:val="0"/>
          <w:marRight w:val="0"/>
          <w:marTop w:val="0"/>
          <w:marBottom w:val="101"/>
          <w:divBdr>
            <w:top w:val="none" w:sz="0" w:space="0" w:color="auto"/>
            <w:left w:val="none" w:sz="0" w:space="0" w:color="auto"/>
            <w:bottom w:val="none" w:sz="0" w:space="0" w:color="auto"/>
            <w:right w:val="none" w:sz="0" w:space="0" w:color="auto"/>
          </w:divBdr>
        </w:div>
        <w:div w:id="1486626702">
          <w:marLeft w:val="0"/>
          <w:marRight w:val="0"/>
          <w:marTop w:val="0"/>
          <w:marBottom w:val="101"/>
          <w:divBdr>
            <w:top w:val="none" w:sz="0" w:space="0" w:color="auto"/>
            <w:left w:val="none" w:sz="0" w:space="0" w:color="auto"/>
            <w:bottom w:val="none" w:sz="0" w:space="0" w:color="auto"/>
            <w:right w:val="none" w:sz="0" w:space="0" w:color="auto"/>
          </w:divBdr>
        </w:div>
        <w:div w:id="489757807">
          <w:marLeft w:val="0"/>
          <w:marRight w:val="0"/>
          <w:marTop w:val="0"/>
          <w:marBottom w:val="101"/>
          <w:divBdr>
            <w:top w:val="none" w:sz="0" w:space="0" w:color="auto"/>
            <w:left w:val="none" w:sz="0" w:space="0" w:color="auto"/>
            <w:bottom w:val="none" w:sz="0" w:space="0" w:color="auto"/>
            <w:right w:val="none" w:sz="0" w:space="0" w:color="auto"/>
          </w:divBdr>
        </w:div>
        <w:div w:id="1525820714">
          <w:marLeft w:val="0"/>
          <w:marRight w:val="0"/>
          <w:marTop w:val="0"/>
          <w:marBottom w:val="101"/>
          <w:divBdr>
            <w:top w:val="none" w:sz="0" w:space="0" w:color="auto"/>
            <w:left w:val="none" w:sz="0" w:space="0" w:color="auto"/>
            <w:bottom w:val="none" w:sz="0" w:space="0" w:color="auto"/>
            <w:right w:val="none" w:sz="0" w:space="0" w:color="auto"/>
          </w:divBdr>
        </w:div>
        <w:div w:id="930773845">
          <w:marLeft w:val="720"/>
          <w:marRight w:val="0"/>
          <w:marTop w:val="0"/>
          <w:marBottom w:val="101"/>
          <w:divBdr>
            <w:top w:val="none" w:sz="0" w:space="0" w:color="auto"/>
            <w:left w:val="none" w:sz="0" w:space="0" w:color="auto"/>
            <w:bottom w:val="none" w:sz="0" w:space="0" w:color="auto"/>
            <w:right w:val="none" w:sz="0" w:space="0" w:color="auto"/>
          </w:divBdr>
        </w:div>
        <w:div w:id="312805253">
          <w:marLeft w:val="720"/>
          <w:marRight w:val="0"/>
          <w:marTop w:val="0"/>
          <w:marBottom w:val="101"/>
          <w:divBdr>
            <w:top w:val="none" w:sz="0" w:space="0" w:color="auto"/>
            <w:left w:val="none" w:sz="0" w:space="0" w:color="auto"/>
            <w:bottom w:val="none" w:sz="0" w:space="0" w:color="auto"/>
            <w:right w:val="none" w:sz="0" w:space="0" w:color="auto"/>
          </w:divBdr>
        </w:div>
        <w:div w:id="119737186">
          <w:marLeft w:val="720"/>
          <w:marRight w:val="0"/>
          <w:marTop w:val="0"/>
          <w:marBottom w:val="101"/>
          <w:divBdr>
            <w:top w:val="none" w:sz="0" w:space="0" w:color="auto"/>
            <w:left w:val="none" w:sz="0" w:space="0" w:color="auto"/>
            <w:bottom w:val="none" w:sz="0" w:space="0" w:color="auto"/>
            <w:right w:val="none" w:sz="0" w:space="0" w:color="auto"/>
          </w:divBdr>
        </w:div>
        <w:div w:id="879516049">
          <w:marLeft w:val="720"/>
          <w:marRight w:val="0"/>
          <w:marTop w:val="0"/>
          <w:marBottom w:val="101"/>
          <w:divBdr>
            <w:top w:val="none" w:sz="0" w:space="0" w:color="auto"/>
            <w:left w:val="none" w:sz="0" w:space="0" w:color="auto"/>
            <w:bottom w:val="none" w:sz="0" w:space="0" w:color="auto"/>
            <w:right w:val="none" w:sz="0" w:space="0" w:color="auto"/>
          </w:divBdr>
        </w:div>
        <w:div w:id="604339633">
          <w:marLeft w:val="0"/>
          <w:marRight w:val="0"/>
          <w:marTop w:val="101"/>
          <w:marBottom w:val="101"/>
          <w:divBdr>
            <w:top w:val="none" w:sz="0" w:space="0" w:color="auto"/>
            <w:left w:val="none" w:sz="0" w:space="0" w:color="auto"/>
            <w:bottom w:val="none" w:sz="0" w:space="0" w:color="auto"/>
            <w:right w:val="none" w:sz="0" w:space="0" w:color="auto"/>
          </w:divBdr>
        </w:div>
        <w:div w:id="562909915">
          <w:marLeft w:val="0"/>
          <w:marRight w:val="0"/>
          <w:marTop w:val="0"/>
          <w:marBottom w:val="101"/>
          <w:divBdr>
            <w:top w:val="none" w:sz="0" w:space="0" w:color="auto"/>
            <w:left w:val="none" w:sz="0" w:space="0" w:color="auto"/>
            <w:bottom w:val="none" w:sz="0" w:space="0" w:color="auto"/>
            <w:right w:val="none" w:sz="0" w:space="0" w:color="auto"/>
          </w:divBdr>
        </w:div>
        <w:div w:id="691417461">
          <w:marLeft w:val="0"/>
          <w:marRight w:val="0"/>
          <w:marTop w:val="0"/>
          <w:marBottom w:val="101"/>
          <w:divBdr>
            <w:top w:val="none" w:sz="0" w:space="0" w:color="auto"/>
            <w:left w:val="none" w:sz="0" w:space="0" w:color="auto"/>
            <w:bottom w:val="none" w:sz="0" w:space="0" w:color="auto"/>
            <w:right w:val="none" w:sz="0" w:space="0" w:color="auto"/>
          </w:divBdr>
        </w:div>
        <w:div w:id="2043676023">
          <w:marLeft w:val="0"/>
          <w:marRight w:val="0"/>
          <w:marTop w:val="0"/>
          <w:marBottom w:val="101"/>
          <w:divBdr>
            <w:top w:val="none" w:sz="0" w:space="0" w:color="auto"/>
            <w:left w:val="none" w:sz="0" w:space="0" w:color="auto"/>
            <w:bottom w:val="none" w:sz="0" w:space="0" w:color="auto"/>
            <w:right w:val="none" w:sz="0" w:space="0" w:color="auto"/>
          </w:divBdr>
        </w:div>
        <w:div w:id="487944931">
          <w:marLeft w:val="0"/>
          <w:marRight w:val="0"/>
          <w:marTop w:val="0"/>
          <w:marBottom w:val="101"/>
          <w:divBdr>
            <w:top w:val="none" w:sz="0" w:space="0" w:color="auto"/>
            <w:left w:val="none" w:sz="0" w:space="0" w:color="auto"/>
            <w:bottom w:val="none" w:sz="0" w:space="0" w:color="auto"/>
            <w:right w:val="none" w:sz="0" w:space="0" w:color="auto"/>
          </w:divBdr>
        </w:div>
        <w:div w:id="5183952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2022-12-15T13:42:00Z</dcterms:created>
  <dcterms:modified xsi:type="dcterms:W3CDTF">2022-12-15T13:43:00Z</dcterms:modified>
</cp:coreProperties>
</file>