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F30" w:rsidRPr="00841D9A" w:rsidRDefault="00937F30" w:rsidP="00937F30">
      <w:pPr>
        <w:jc w:val="center"/>
        <w:rPr>
          <w:rFonts w:ascii="Verdana" w:eastAsia="Verdana" w:hAnsi="Verdana" w:cs="Verdana"/>
          <w:b/>
          <w:color w:val="0000FF"/>
          <w:sz w:val="24"/>
          <w:szCs w:val="24"/>
        </w:rPr>
      </w:pPr>
      <w:r w:rsidRPr="00937F30">
        <w:rPr>
          <w:rFonts w:ascii="Verdana" w:eastAsia="Verdana" w:hAnsi="Verdana" w:cs="Verdana"/>
          <w:b/>
          <w:color w:val="0000FF"/>
          <w:sz w:val="24"/>
          <w:szCs w:val="24"/>
        </w:rPr>
        <w:t>ACUERDO General 57/2022 del Pleno del Consejo de la Judicatura Federal, relativo a la conclusión de funciones del Primer y Segundo Tribunales Unitarios del Decimoctavo Circuito con residencia en Cuernavaca, Morelos, y de la oficina de correspondencia común que les presta servicio.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noviembre</w:t>
      </w:r>
      <w:r w:rsidRPr="00841D9A">
        <w:rPr>
          <w:rFonts w:ascii="Verdana" w:eastAsia="Verdana" w:hAnsi="Verdana" w:cs="Verdana"/>
          <w:b/>
          <w:color w:val="0000FF"/>
          <w:sz w:val="24"/>
          <w:szCs w:val="24"/>
        </w:rPr>
        <w:t xml:space="preserve"> de 2022)</w:t>
      </w:r>
      <w:bookmarkEnd w:id="0"/>
    </w:p>
    <w:p w:rsidR="00937F30" w:rsidRDefault="00937F30" w:rsidP="00937F30">
      <w:pPr>
        <w:jc w:val="both"/>
        <w:rPr>
          <w:rFonts w:ascii="Arial" w:hAnsi="Arial" w:cs="Arial"/>
          <w:b/>
          <w:color w:val="2F2F2F"/>
          <w:sz w:val="18"/>
          <w:szCs w:val="18"/>
          <w:shd w:val="clear" w:color="auto" w:fill="FFFFFF"/>
        </w:rPr>
      </w:pPr>
      <w:r w:rsidRPr="00F97FD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6"/>
          <w:szCs w:val="16"/>
          <w:lang w:eastAsia="es-MX"/>
        </w:rPr>
      </w:pPr>
      <w:r w:rsidRPr="00937F30">
        <w:rPr>
          <w:rFonts w:ascii="Arial" w:eastAsia="Times New Roman" w:hAnsi="Arial" w:cs="Arial"/>
          <w:color w:val="2F2F2F"/>
          <w:sz w:val="16"/>
          <w:szCs w:val="16"/>
          <w:lang w:eastAsia="es-MX"/>
        </w:rPr>
        <w:t>ACUERDO GENERAL 57/2022, DEL PLENO DEL CONSEJO DE LA JUDICATURA FEDERAL, RELATIVO A LA CONCLUSIÓN DE FUNCIONES DEL PRIMER Y SEGUNDO TRIBUNALES UNITARIOS DEL DECIMOCTAVO CIRCUITO CON RESIDENCIA EN CUERNAVACA, MORELOS, Y DE LA OFICINA DE CORRESPONDENCIA COMÚN QUE LES PRESTA SERVICIO.</w:t>
      </w:r>
    </w:p>
    <w:p w:rsidR="00937F30" w:rsidRPr="00937F30" w:rsidRDefault="00937F30" w:rsidP="00937F3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7F30">
        <w:rPr>
          <w:rFonts w:ascii="Times" w:eastAsia="Times New Roman" w:hAnsi="Times" w:cs="Times New Roman"/>
          <w:b/>
          <w:bCs/>
          <w:color w:val="2F2F2F"/>
          <w:sz w:val="18"/>
          <w:szCs w:val="18"/>
          <w:lang w:eastAsia="es-MX"/>
        </w:rPr>
        <w:t>CONSIDERANDO</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PRIMERO.</w:t>
      </w:r>
      <w:r w:rsidRPr="00937F30">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SEGUNDO.</w:t>
      </w:r>
      <w:r w:rsidRPr="00937F30">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TERCERO.</w:t>
      </w:r>
      <w:r w:rsidRPr="00937F30">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CUARTO.</w:t>
      </w:r>
      <w:r w:rsidRPr="00937F30">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QUINTO.</w:t>
      </w:r>
      <w:r w:rsidRPr="00937F30">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SEXTO. </w:t>
      </w:r>
      <w:r w:rsidRPr="00937F30">
        <w:rPr>
          <w:rFonts w:ascii="Arial" w:eastAsia="Times New Roman" w:hAnsi="Arial" w:cs="Arial"/>
          <w:color w:val="2F2F2F"/>
          <w:sz w:val="18"/>
          <w:szCs w:val="18"/>
          <w:lang w:eastAsia="es-MX"/>
        </w:rPr>
        <w:t>El Pleno del Consejo de la Judicatura Federal, en sesión de 9 de noviembre de 2022, aprobó el Dictamen relativo a la conclusión de funciones de los Tribunales Unitarios del Decimoctavo Circuito, con residencia en Cuernavaca.</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color w:val="2F2F2F"/>
          <w:sz w:val="18"/>
          <w:szCs w:val="18"/>
          <w:lang w:eastAsia="es-MX"/>
        </w:rPr>
        <w:t>Por lo anterior, se expide el siguiente</w:t>
      </w:r>
    </w:p>
    <w:p w:rsidR="00937F30" w:rsidRPr="00937F30" w:rsidRDefault="00937F30" w:rsidP="00937F3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7F30">
        <w:rPr>
          <w:rFonts w:ascii="Times" w:eastAsia="Times New Roman" w:hAnsi="Times" w:cs="Times New Roman"/>
          <w:b/>
          <w:bCs/>
          <w:color w:val="2F2F2F"/>
          <w:sz w:val="18"/>
          <w:szCs w:val="18"/>
          <w:lang w:eastAsia="es-MX"/>
        </w:rPr>
        <w:t>ACUERDO</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Artículo 1.</w:t>
      </w:r>
      <w:r w:rsidRPr="00937F30">
        <w:rPr>
          <w:rFonts w:ascii="Arial" w:eastAsia="Times New Roman" w:hAnsi="Arial" w:cs="Arial"/>
          <w:color w:val="2F2F2F"/>
          <w:sz w:val="18"/>
          <w:szCs w:val="18"/>
          <w:lang w:eastAsia="es-MX"/>
        </w:rPr>
        <w:t> El Primer y Segundo Tribunales Unitarios del Decimoctavo Circuito, con residencia en Cuernavaca, Morelos, concluyen funciones a las veinticuatro horas del 30 de noviembre de 2022.</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Artículo 2.</w:t>
      </w:r>
      <w:r w:rsidRPr="00937F30">
        <w:rPr>
          <w:rFonts w:ascii="Arial" w:eastAsia="Times New Roman" w:hAnsi="Arial" w:cs="Arial"/>
          <w:color w:val="2F2F2F"/>
          <w:sz w:val="18"/>
          <w:szCs w:val="18"/>
          <w:lang w:eastAsia="es-MX"/>
        </w:rPr>
        <w:t xml:space="preserve">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w:t>
      </w:r>
      <w:r w:rsidRPr="00937F30">
        <w:rPr>
          <w:rFonts w:ascii="Arial" w:eastAsia="Times New Roman" w:hAnsi="Arial" w:cs="Arial"/>
          <w:color w:val="2F2F2F"/>
          <w:sz w:val="18"/>
          <w:szCs w:val="18"/>
          <w:lang w:eastAsia="es-MX"/>
        </w:rPr>
        <w:lastRenderedPageBreak/>
        <w:t>al Tribunal Colegiado de Apelación del Decimoctavo Circuito, con residencia en Cuernavaca, para su recepción una vez que inicie funciones.</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Artículo 3. </w:t>
      </w:r>
      <w:r w:rsidRPr="00937F30">
        <w:rPr>
          <w:rFonts w:ascii="Arial" w:eastAsia="Times New Roman" w:hAnsi="Arial" w:cs="Arial"/>
          <w:color w:val="2F2F2F"/>
          <w:sz w:val="18"/>
          <w:szCs w:val="18"/>
          <w:lang w:eastAsia="es-MX"/>
        </w:rPr>
        <w:t>Los Tribunales Unitarios de Circuito que concluyen funciones remitirán los asuntos de su índice al Tribunal Colegiado de Apelación en el Decimoctavo Circuito, de forma que se reciban el día de su inicio de funciones, para continuar con el trámite hasta su conclusión, cumplimentación, en su caso, y archivo definitivo.</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Artículo 4</w:t>
      </w:r>
      <w:r w:rsidRPr="00937F30">
        <w:rPr>
          <w:rFonts w:ascii="Arial" w:eastAsia="Times New Roman" w:hAnsi="Arial" w:cs="Arial"/>
          <w:color w:val="2F2F2F"/>
          <w:sz w:val="18"/>
          <w:szCs w:val="18"/>
          <w:lang w:eastAsia="es-MX"/>
        </w:rPr>
        <w:t>. A partir de la fecha señalada en el artículo 1 de este Acuerdo, concluye funciones la Oficina de Correspondencia Común de los Tribunales Unitarios del Decimoctavo Circuito, con residencia en Cuernavaca, Morelos. La Dirección General de Gestión Judicial determinará lo relativo al destino del personal, documentación y archivo de la citada oficina,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Artículo 5. </w:t>
      </w:r>
      <w:r w:rsidRPr="00937F30">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937F30" w:rsidRPr="00937F30" w:rsidRDefault="00937F30" w:rsidP="00937F3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7F30">
        <w:rPr>
          <w:rFonts w:ascii="Times" w:eastAsia="Times New Roman" w:hAnsi="Times" w:cs="Times New Roman"/>
          <w:b/>
          <w:bCs/>
          <w:color w:val="2F2F2F"/>
          <w:sz w:val="18"/>
          <w:szCs w:val="18"/>
          <w:lang w:eastAsia="es-MX"/>
        </w:rPr>
        <w:t>TRANSITORIOS</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PRIMERO.</w:t>
      </w:r>
      <w:r w:rsidRPr="00937F30">
        <w:rPr>
          <w:rFonts w:ascii="Arial" w:eastAsia="Times New Roman" w:hAnsi="Arial" w:cs="Arial"/>
          <w:color w:val="2F2F2F"/>
          <w:sz w:val="18"/>
          <w:szCs w:val="18"/>
          <w:lang w:eastAsia="es-MX"/>
        </w:rPr>
        <w:t> El presente Acuerdo entrará en vigor el día de su aprobación.</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SEGUNDO.</w:t>
      </w:r>
      <w:r w:rsidRPr="00937F30">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TERCERO.</w:t>
      </w:r>
      <w:r w:rsidRPr="00937F30">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937F30" w:rsidRPr="00937F30" w:rsidRDefault="00937F30" w:rsidP="00937F30">
      <w:pPr>
        <w:shd w:val="clear" w:color="auto" w:fill="FFFFFF"/>
        <w:spacing w:after="101" w:line="240" w:lineRule="auto"/>
        <w:ind w:firstLine="288"/>
        <w:jc w:val="both"/>
        <w:rPr>
          <w:rFonts w:ascii="Arial" w:eastAsia="Times New Roman" w:hAnsi="Arial" w:cs="Arial"/>
          <w:color w:val="2F2F2F"/>
          <w:sz w:val="18"/>
          <w:szCs w:val="18"/>
          <w:lang w:eastAsia="es-MX"/>
        </w:rPr>
      </w:pPr>
      <w:r w:rsidRPr="00937F30">
        <w:rPr>
          <w:rFonts w:ascii="Arial" w:eastAsia="Times New Roman" w:hAnsi="Arial" w:cs="Arial"/>
          <w:b/>
          <w:bCs/>
          <w:color w:val="2F2F2F"/>
          <w:sz w:val="18"/>
          <w:szCs w:val="18"/>
          <w:lang w:eastAsia="es-MX"/>
        </w:rPr>
        <w:t>CUARTO.</w:t>
      </w:r>
      <w:r w:rsidRPr="00937F30">
        <w:rPr>
          <w:rFonts w:ascii="Arial" w:eastAsia="Times New Roman" w:hAnsi="Arial" w:cs="Arial"/>
          <w:color w:val="2F2F2F"/>
          <w:sz w:val="18"/>
          <w:szCs w:val="18"/>
          <w:lang w:eastAsia="es-MX"/>
        </w:rPr>
        <w:t> Los Tribunales Unitarios del Decimoctavo Circuito y su Oficina de Correspondencia Común publicarán en lugares visibles, para conocimiento del público en general, un aviso donde se informe lo determinado en el presente Acuerdo, que de manera relevante señale su conclusión de funciones, la creación del Tribunal Colegiado de Apelación con residencia en Cuernavaca, Morelos, así como el órgano que conocerá de los juicios de amparo indirecto que se promuevan en contra de actos de aquel. La administración correspondiente mantendrá los avisos hasta dos meses después de la conclusión de funciones de los Tribunales Unitarios de que se trata.</w:t>
      </w:r>
    </w:p>
    <w:p w:rsidR="00BE432A" w:rsidRPr="00937F30" w:rsidRDefault="00937F30" w:rsidP="00937F30">
      <w:pPr>
        <w:shd w:val="clear" w:color="auto" w:fill="FFFFFF"/>
        <w:spacing w:after="101" w:line="240" w:lineRule="auto"/>
        <w:ind w:firstLine="288"/>
        <w:jc w:val="both"/>
        <w:rPr>
          <w:rFonts w:ascii="Arial" w:eastAsia="Times New Roman" w:hAnsi="Arial" w:cs="Arial"/>
          <w:color w:val="2F2F2F"/>
          <w:sz w:val="16"/>
          <w:szCs w:val="16"/>
          <w:lang w:eastAsia="es-MX"/>
        </w:rPr>
      </w:pPr>
      <w:r w:rsidRPr="00937F30">
        <w:rPr>
          <w:rFonts w:ascii="Arial" w:eastAsia="Times New Roman" w:hAnsi="Arial" w:cs="Arial"/>
          <w:color w:val="2F2F2F"/>
          <w:sz w:val="16"/>
          <w:szCs w:val="16"/>
          <w:lang w:eastAsia="es-MX"/>
        </w:rPr>
        <w:t>EL LICENCIADO </w:t>
      </w:r>
      <w:r w:rsidRPr="00937F30">
        <w:rPr>
          <w:rFonts w:ascii="Arial" w:eastAsia="Times New Roman" w:hAnsi="Arial" w:cs="Arial"/>
          <w:b/>
          <w:bCs/>
          <w:color w:val="2F2F2F"/>
          <w:sz w:val="16"/>
          <w:szCs w:val="16"/>
          <w:lang w:eastAsia="es-MX"/>
        </w:rPr>
        <w:t>ARTURO GUERRERO ZAZUETA</w:t>
      </w:r>
      <w:r w:rsidRPr="00937F30">
        <w:rPr>
          <w:rFonts w:ascii="Arial" w:eastAsia="Times New Roman" w:hAnsi="Arial" w:cs="Arial"/>
          <w:color w:val="2F2F2F"/>
          <w:sz w:val="16"/>
          <w:szCs w:val="16"/>
          <w:lang w:eastAsia="es-MX"/>
        </w:rPr>
        <w:t>, SECRETARIO EJECUTIVO DEL PLENO DEL CONSEJO DE LA JUDICATURA FEDERAL, CERTIFICA: Que este Acuerdo General 57/2022, del Pleno del Consejo de la Judicatura Federal, relativo a la conclusión de funciones del Primer y Segundo Tribunales Unitarios del decimoctavo Circuito con residencia en Cuernavaca, Morelos, y de la oficina de correspondencia común que les presta servicio, fue aprobado por el Pleno del propio Consejo, en sesión ordinaria de 9 de noviembre de 2022, por unanimidad de votos de los señores Consejeros: Presidente Ministro Arturo Zaldívar Lelo de Larrea, Bernardo </w:t>
      </w:r>
      <w:proofErr w:type="spellStart"/>
      <w:r w:rsidRPr="00937F30">
        <w:rPr>
          <w:rFonts w:ascii="Arial" w:eastAsia="Times New Roman" w:hAnsi="Arial" w:cs="Arial"/>
          <w:color w:val="2F2F2F"/>
          <w:sz w:val="16"/>
          <w:szCs w:val="16"/>
          <w:lang w:eastAsia="es-MX"/>
        </w:rPr>
        <w:t>Bátiz</w:t>
      </w:r>
      <w:proofErr w:type="spellEnd"/>
      <w:r w:rsidRPr="00937F30">
        <w:rPr>
          <w:rFonts w:ascii="Arial" w:eastAsia="Times New Roman" w:hAnsi="Arial" w:cs="Arial"/>
          <w:color w:val="2F2F2F"/>
          <w:sz w:val="16"/>
          <w:szCs w:val="16"/>
          <w:lang w:eastAsia="es-MX"/>
        </w:rPr>
        <w:t xml:space="preserve"> Vázquez, Eva Verónica de </w:t>
      </w:r>
      <w:proofErr w:type="spellStart"/>
      <w:r w:rsidRPr="00937F30">
        <w:rPr>
          <w:rFonts w:ascii="Arial" w:eastAsia="Times New Roman" w:hAnsi="Arial" w:cs="Arial"/>
          <w:color w:val="2F2F2F"/>
          <w:sz w:val="16"/>
          <w:szCs w:val="16"/>
          <w:lang w:eastAsia="es-MX"/>
        </w:rPr>
        <w:t>Gyvés</w:t>
      </w:r>
      <w:proofErr w:type="spellEnd"/>
      <w:r w:rsidRPr="00937F30">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sectPr w:rsidR="00BE432A" w:rsidRPr="00937F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30"/>
    <w:rsid w:val="00937F30"/>
    <w:rsid w:val="00BE4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5320">
      <w:bodyDiv w:val="1"/>
      <w:marLeft w:val="0"/>
      <w:marRight w:val="0"/>
      <w:marTop w:val="0"/>
      <w:marBottom w:val="0"/>
      <w:divBdr>
        <w:top w:val="none" w:sz="0" w:space="0" w:color="auto"/>
        <w:left w:val="none" w:sz="0" w:space="0" w:color="auto"/>
        <w:bottom w:val="none" w:sz="0" w:space="0" w:color="auto"/>
        <w:right w:val="none" w:sz="0" w:space="0" w:color="auto"/>
      </w:divBdr>
      <w:divsChild>
        <w:div w:id="873540657">
          <w:marLeft w:val="0"/>
          <w:marRight w:val="0"/>
          <w:marTop w:val="0"/>
          <w:marBottom w:val="101"/>
          <w:divBdr>
            <w:top w:val="none" w:sz="0" w:space="0" w:color="auto"/>
            <w:left w:val="none" w:sz="0" w:space="0" w:color="auto"/>
            <w:bottom w:val="none" w:sz="0" w:space="0" w:color="auto"/>
            <w:right w:val="none" w:sz="0" w:space="0" w:color="auto"/>
          </w:divBdr>
        </w:div>
        <w:div w:id="1581908106">
          <w:marLeft w:val="0"/>
          <w:marRight w:val="0"/>
          <w:marTop w:val="101"/>
          <w:marBottom w:val="101"/>
          <w:divBdr>
            <w:top w:val="none" w:sz="0" w:space="0" w:color="auto"/>
            <w:left w:val="none" w:sz="0" w:space="0" w:color="auto"/>
            <w:bottom w:val="none" w:sz="0" w:space="0" w:color="auto"/>
            <w:right w:val="none" w:sz="0" w:space="0" w:color="auto"/>
          </w:divBdr>
        </w:div>
        <w:div w:id="909999754">
          <w:marLeft w:val="0"/>
          <w:marRight w:val="0"/>
          <w:marTop w:val="0"/>
          <w:marBottom w:val="101"/>
          <w:divBdr>
            <w:top w:val="none" w:sz="0" w:space="0" w:color="auto"/>
            <w:left w:val="none" w:sz="0" w:space="0" w:color="auto"/>
            <w:bottom w:val="none" w:sz="0" w:space="0" w:color="auto"/>
            <w:right w:val="none" w:sz="0" w:space="0" w:color="auto"/>
          </w:divBdr>
        </w:div>
        <w:div w:id="538320204">
          <w:marLeft w:val="0"/>
          <w:marRight w:val="0"/>
          <w:marTop w:val="0"/>
          <w:marBottom w:val="101"/>
          <w:divBdr>
            <w:top w:val="none" w:sz="0" w:space="0" w:color="auto"/>
            <w:left w:val="none" w:sz="0" w:space="0" w:color="auto"/>
            <w:bottom w:val="none" w:sz="0" w:space="0" w:color="auto"/>
            <w:right w:val="none" w:sz="0" w:space="0" w:color="auto"/>
          </w:divBdr>
        </w:div>
        <w:div w:id="196043870">
          <w:marLeft w:val="0"/>
          <w:marRight w:val="0"/>
          <w:marTop w:val="0"/>
          <w:marBottom w:val="101"/>
          <w:divBdr>
            <w:top w:val="none" w:sz="0" w:space="0" w:color="auto"/>
            <w:left w:val="none" w:sz="0" w:space="0" w:color="auto"/>
            <w:bottom w:val="none" w:sz="0" w:space="0" w:color="auto"/>
            <w:right w:val="none" w:sz="0" w:space="0" w:color="auto"/>
          </w:divBdr>
        </w:div>
        <w:div w:id="543755071">
          <w:marLeft w:val="0"/>
          <w:marRight w:val="0"/>
          <w:marTop w:val="0"/>
          <w:marBottom w:val="101"/>
          <w:divBdr>
            <w:top w:val="none" w:sz="0" w:space="0" w:color="auto"/>
            <w:left w:val="none" w:sz="0" w:space="0" w:color="auto"/>
            <w:bottom w:val="none" w:sz="0" w:space="0" w:color="auto"/>
            <w:right w:val="none" w:sz="0" w:space="0" w:color="auto"/>
          </w:divBdr>
        </w:div>
        <w:div w:id="56326246">
          <w:marLeft w:val="0"/>
          <w:marRight w:val="0"/>
          <w:marTop w:val="0"/>
          <w:marBottom w:val="101"/>
          <w:divBdr>
            <w:top w:val="none" w:sz="0" w:space="0" w:color="auto"/>
            <w:left w:val="none" w:sz="0" w:space="0" w:color="auto"/>
            <w:bottom w:val="none" w:sz="0" w:space="0" w:color="auto"/>
            <w:right w:val="none" w:sz="0" w:space="0" w:color="auto"/>
          </w:divBdr>
        </w:div>
        <w:div w:id="132259500">
          <w:marLeft w:val="0"/>
          <w:marRight w:val="0"/>
          <w:marTop w:val="0"/>
          <w:marBottom w:val="101"/>
          <w:divBdr>
            <w:top w:val="none" w:sz="0" w:space="0" w:color="auto"/>
            <w:left w:val="none" w:sz="0" w:space="0" w:color="auto"/>
            <w:bottom w:val="none" w:sz="0" w:space="0" w:color="auto"/>
            <w:right w:val="none" w:sz="0" w:space="0" w:color="auto"/>
          </w:divBdr>
        </w:div>
        <w:div w:id="826167949">
          <w:marLeft w:val="0"/>
          <w:marRight w:val="0"/>
          <w:marTop w:val="0"/>
          <w:marBottom w:val="101"/>
          <w:divBdr>
            <w:top w:val="none" w:sz="0" w:space="0" w:color="auto"/>
            <w:left w:val="none" w:sz="0" w:space="0" w:color="auto"/>
            <w:bottom w:val="none" w:sz="0" w:space="0" w:color="auto"/>
            <w:right w:val="none" w:sz="0" w:space="0" w:color="auto"/>
          </w:divBdr>
        </w:div>
        <w:div w:id="140344637">
          <w:marLeft w:val="0"/>
          <w:marRight w:val="0"/>
          <w:marTop w:val="101"/>
          <w:marBottom w:val="101"/>
          <w:divBdr>
            <w:top w:val="none" w:sz="0" w:space="0" w:color="auto"/>
            <w:left w:val="none" w:sz="0" w:space="0" w:color="auto"/>
            <w:bottom w:val="none" w:sz="0" w:space="0" w:color="auto"/>
            <w:right w:val="none" w:sz="0" w:space="0" w:color="auto"/>
          </w:divBdr>
        </w:div>
        <w:div w:id="746920994">
          <w:marLeft w:val="0"/>
          <w:marRight w:val="0"/>
          <w:marTop w:val="0"/>
          <w:marBottom w:val="101"/>
          <w:divBdr>
            <w:top w:val="none" w:sz="0" w:space="0" w:color="auto"/>
            <w:left w:val="none" w:sz="0" w:space="0" w:color="auto"/>
            <w:bottom w:val="none" w:sz="0" w:space="0" w:color="auto"/>
            <w:right w:val="none" w:sz="0" w:space="0" w:color="auto"/>
          </w:divBdr>
        </w:div>
        <w:div w:id="1562792895">
          <w:marLeft w:val="0"/>
          <w:marRight w:val="0"/>
          <w:marTop w:val="0"/>
          <w:marBottom w:val="101"/>
          <w:divBdr>
            <w:top w:val="none" w:sz="0" w:space="0" w:color="auto"/>
            <w:left w:val="none" w:sz="0" w:space="0" w:color="auto"/>
            <w:bottom w:val="none" w:sz="0" w:space="0" w:color="auto"/>
            <w:right w:val="none" w:sz="0" w:space="0" w:color="auto"/>
          </w:divBdr>
        </w:div>
        <w:div w:id="1861621766">
          <w:marLeft w:val="0"/>
          <w:marRight w:val="0"/>
          <w:marTop w:val="0"/>
          <w:marBottom w:val="101"/>
          <w:divBdr>
            <w:top w:val="none" w:sz="0" w:space="0" w:color="auto"/>
            <w:left w:val="none" w:sz="0" w:space="0" w:color="auto"/>
            <w:bottom w:val="none" w:sz="0" w:space="0" w:color="auto"/>
            <w:right w:val="none" w:sz="0" w:space="0" w:color="auto"/>
          </w:divBdr>
        </w:div>
        <w:div w:id="780075088">
          <w:marLeft w:val="0"/>
          <w:marRight w:val="0"/>
          <w:marTop w:val="0"/>
          <w:marBottom w:val="101"/>
          <w:divBdr>
            <w:top w:val="none" w:sz="0" w:space="0" w:color="auto"/>
            <w:left w:val="none" w:sz="0" w:space="0" w:color="auto"/>
            <w:bottom w:val="none" w:sz="0" w:space="0" w:color="auto"/>
            <w:right w:val="none" w:sz="0" w:space="0" w:color="auto"/>
          </w:divBdr>
        </w:div>
        <w:div w:id="332268026">
          <w:marLeft w:val="0"/>
          <w:marRight w:val="0"/>
          <w:marTop w:val="0"/>
          <w:marBottom w:val="101"/>
          <w:divBdr>
            <w:top w:val="none" w:sz="0" w:space="0" w:color="auto"/>
            <w:left w:val="none" w:sz="0" w:space="0" w:color="auto"/>
            <w:bottom w:val="none" w:sz="0" w:space="0" w:color="auto"/>
            <w:right w:val="none" w:sz="0" w:space="0" w:color="auto"/>
          </w:divBdr>
        </w:div>
        <w:div w:id="1632832313">
          <w:marLeft w:val="0"/>
          <w:marRight w:val="0"/>
          <w:marTop w:val="0"/>
          <w:marBottom w:val="101"/>
          <w:divBdr>
            <w:top w:val="none" w:sz="0" w:space="0" w:color="auto"/>
            <w:left w:val="none" w:sz="0" w:space="0" w:color="auto"/>
            <w:bottom w:val="none" w:sz="0" w:space="0" w:color="auto"/>
            <w:right w:val="none" w:sz="0" w:space="0" w:color="auto"/>
          </w:divBdr>
        </w:div>
        <w:div w:id="57214093">
          <w:marLeft w:val="0"/>
          <w:marRight w:val="0"/>
          <w:marTop w:val="101"/>
          <w:marBottom w:val="101"/>
          <w:divBdr>
            <w:top w:val="none" w:sz="0" w:space="0" w:color="auto"/>
            <w:left w:val="none" w:sz="0" w:space="0" w:color="auto"/>
            <w:bottom w:val="none" w:sz="0" w:space="0" w:color="auto"/>
            <w:right w:val="none" w:sz="0" w:space="0" w:color="auto"/>
          </w:divBdr>
        </w:div>
        <w:div w:id="522939615">
          <w:marLeft w:val="0"/>
          <w:marRight w:val="0"/>
          <w:marTop w:val="0"/>
          <w:marBottom w:val="101"/>
          <w:divBdr>
            <w:top w:val="none" w:sz="0" w:space="0" w:color="auto"/>
            <w:left w:val="none" w:sz="0" w:space="0" w:color="auto"/>
            <w:bottom w:val="none" w:sz="0" w:space="0" w:color="auto"/>
            <w:right w:val="none" w:sz="0" w:space="0" w:color="auto"/>
          </w:divBdr>
        </w:div>
        <w:div w:id="1306279060">
          <w:marLeft w:val="0"/>
          <w:marRight w:val="0"/>
          <w:marTop w:val="0"/>
          <w:marBottom w:val="101"/>
          <w:divBdr>
            <w:top w:val="none" w:sz="0" w:space="0" w:color="auto"/>
            <w:left w:val="none" w:sz="0" w:space="0" w:color="auto"/>
            <w:bottom w:val="none" w:sz="0" w:space="0" w:color="auto"/>
            <w:right w:val="none" w:sz="0" w:space="0" w:color="auto"/>
          </w:divBdr>
        </w:div>
        <w:div w:id="56975787">
          <w:marLeft w:val="0"/>
          <w:marRight w:val="0"/>
          <w:marTop w:val="0"/>
          <w:marBottom w:val="101"/>
          <w:divBdr>
            <w:top w:val="none" w:sz="0" w:space="0" w:color="auto"/>
            <w:left w:val="none" w:sz="0" w:space="0" w:color="auto"/>
            <w:bottom w:val="none" w:sz="0" w:space="0" w:color="auto"/>
            <w:right w:val="none" w:sz="0" w:space="0" w:color="auto"/>
          </w:divBdr>
        </w:div>
        <w:div w:id="2077508607">
          <w:marLeft w:val="0"/>
          <w:marRight w:val="0"/>
          <w:marTop w:val="0"/>
          <w:marBottom w:val="101"/>
          <w:divBdr>
            <w:top w:val="none" w:sz="0" w:space="0" w:color="auto"/>
            <w:left w:val="none" w:sz="0" w:space="0" w:color="auto"/>
            <w:bottom w:val="none" w:sz="0" w:space="0" w:color="auto"/>
            <w:right w:val="none" w:sz="0" w:space="0" w:color="auto"/>
          </w:divBdr>
        </w:div>
        <w:div w:id="4090119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1265</Words>
  <Characters>6962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2022-11-29T15:09:00Z</dcterms:created>
  <dcterms:modified xsi:type="dcterms:W3CDTF">2022-11-29T15:11:00Z</dcterms:modified>
</cp:coreProperties>
</file>