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0"/>
          <w:szCs w:val="20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0"/>
          <w:szCs w:val="20"/>
          <w:rtl w:val="0"/>
        </w:rPr>
        <w:t xml:space="preserve">(DOF del 30 de abril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87nh1zb1bfdw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44/2020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 al 8 de mayo de 2020.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 al 8 de mayo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 al 8 de mayo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 al 8 de mayo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29 de abril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