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EF5" w:rsidRPr="00C17112" w:rsidRDefault="002B6EF5" w:rsidP="002B6EF5">
      <w:pPr>
        <w:jc w:val="center"/>
        <w:rPr>
          <w:rFonts w:ascii="Verdana" w:eastAsia="Verdana" w:hAnsi="Verdana" w:cs="Verdana"/>
          <w:b/>
          <w:color w:val="0000FF"/>
          <w:sz w:val="24"/>
          <w:szCs w:val="24"/>
        </w:rPr>
      </w:pPr>
      <w:r w:rsidRPr="002B6EF5">
        <w:rPr>
          <w:rFonts w:ascii="Verdana" w:eastAsia="Verdana" w:hAnsi="Verdana" w:cs="Verdana"/>
          <w:b/>
          <w:color w:val="0000FF"/>
          <w:sz w:val="24"/>
          <w:szCs w:val="24"/>
        </w:rPr>
        <w:t>ACUERDO por el que se suspenden las labores del Instituto Mexicano de la Propiedad Industrial durante el periodo diciembre 2021-enero 2022.</w:t>
      </w:r>
      <w:r>
        <w:rPr>
          <w:rFonts w:ascii="Verdana" w:eastAsia="Verdana" w:hAnsi="Verdana" w:cs="Verdana"/>
          <w:b/>
          <w:color w:val="0000FF"/>
          <w:sz w:val="24"/>
          <w:szCs w:val="24"/>
        </w:rPr>
        <w:br/>
        <w:t>(DOF del 26</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p>
    <w:p w:rsidR="00B32171" w:rsidRDefault="002B6EF5" w:rsidP="002B6EF5">
      <w:pPr>
        <w:jc w:val="both"/>
        <w:rPr>
          <w:rFonts w:ascii="Arial" w:hAnsi="Arial" w:cs="Arial"/>
          <w:b/>
          <w:color w:val="262626" w:themeColor="text1" w:themeTint="D9"/>
          <w:sz w:val="18"/>
        </w:rPr>
      </w:pPr>
      <w:r w:rsidRPr="002B6EF5">
        <w:rPr>
          <w:rFonts w:ascii="Arial" w:hAnsi="Arial" w:cs="Arial"/>
          <w:b/>
          <w:color w:val="262626" w:themeColor="text1" w:themeTint="D9"/>
          <w:sz w:val="18"/>
        </w:rPr>
        <w:t>Al margen un sello con el Escudo Nacional, que dice: Estados Unidos Mexicanos.- ECONOMÍA.- Secretaría de Economía.- Instituto Mexicano de la Propiedad Industrial.</w:t>
      </w:r>
    </w:p>
    <w:p w:rsidR="002B6EF5" w:rsidRPr="002B6EF5" w:rsidRDefault="002B6EF5" w:rsidP="002B6EF5">
      <w:pPr>
        <w:shd w:val="clear" w:color="auto" w:fill="FFFFFF"/>
        <w:spacing w:after="44" w:line="240" w:lineRule="auto"/>
        <w:ind w:firstLine="288"/>
        <w:jc w:val="both"/>
        <w:rPr>
          <w:rFonts w:ascii="Arial" w:eastAsia="Times New Roman" w:hAnsi="Arial" w:cs="Arial"/>
          <w:color w:val="2F2F2F"/>
          <w:sz w:val="18"/>
          <w:szCs w:val="18"/>
          <w:lang w:eastAsia="es-MX"/>
        </w:rPr>
      </w:pPr>
      <w:r w:rsidRPr="002B6EF5">
        <w:rPr>
          <w:rFonts w:ascii="Arial" w:eastAsia="Times New Roman" w:hAnsi="Arial" w:cs="Arial"/>
          <w:color w:val="2F2F2F"/>
          <w:sz w:val="18"/>
          <w:szCs w:val="18"/>
          <w:lang w:eastAsia="es-MX"/>
        </w:rPr>
        <w:t>ALFREDO CARLOS RENDÓN ALGARA, Director General del Instituto Mexicano de la Propiedad Industrial, con fundamento en los artículos 17, 22 y 59 fracciones I, V y XIV de la </w:t>
      </w:r>
      <w:r w:rsidRPr="002B6EF5">
        <w:rPr>
          <w:rFonts w:ascii="Arial" w:eastAsia="Times New Roman" w:hAnsi="Arial" w:cs="Arial"/>
          <w:i/>
          <w:iCs/>
          <w:color w:val="2F2F2F"/>
          <w:sz w:val="18"/>
          <w:szCs w:val="18"/>
          <w:lang w:eastAsia="es-MX"/>
        </w:rPr>
        <w:t>Ley Federal de las Entidades Paraestatales</w:t>
      </w:r>
      <w:r w:rsidRPr="002B6EF5">
        <w:rPr>
          <w:rFonts w:ascii="Arial" w:eastAsia="Times New Roman" w:hAnsi="Arial" w:cs="Arial"/>
          <w:color w:val="2F2F2F"/>
          <w:sz w:val="18"/>
          <w:szCs w:val="18"/>
          <w:lang w:eastAsia="es-MX"/>
        </w:rPr>
        <w:t>; </w:t>
      </w:r>
      <w:r w:rsidRPr="002B6EF5">
        <w:rPr>
          <w:rFonts w:ascii="Arial" w:eastAsia="Times New Roman" w:hAnsi="Arial" w:cs="Arial"/>
          <w:color w:val="000000"/>
          <w:sz w:val="18"/>
          <w:szCs w:val="18"/>
          <w:lang w:eastAsia="es-MX"/>
        </w:rPr>
        <w:t>28 de la </w:t>
      </w:r>
      <w:r w:rsidRPr="002B6EF5">
        <w:rPr>
          <w:rFonts w:ascii="Arial" w:eastAsia="Times New Roman" w:hAnsi="Arial" w:cs="Arial"/>
          <w:i/>
          <w:iCs/>
          <w:color w:val="000000"/>
          <w:sz w:val="18"/>
          <w:szCs w:val="18"/>
          <w:lang w:eastAsia="es-MX"/>
        </w:rPr>
        <w:t>Ley Federal de Procedimiento Administrativo</w:t>
      </w:r>
      <w:r w:rsidRPr="002B6EF5">
        <w:rPr>
          <w:rFonts w:ascii="Arial" w:eastAsia="Times New Roman" w:hAnsi="Arial" w:cs="Arial"/>
          <w:color w:val="000000"/>
          <w:sz w:val="18"/>
          <w:szCs w:val="18"/>
          <w:lang w:eastAsia="es-MX"/>
        </w:rPr>
        <w:t>; </w:t>
      </w:r>
      <w:r w:rsidRPr="002B6EF5">
        <w:rPr>
          <w:rFonts w:ascii="Arial" w:eastAsia="Times New Roman" w:hAnsi="Arial" w:cs="Arial"/>
          <w:color w:val="2F2F2F"/>
          <w:sz w:val="18"/>
          <w:szCs w:val="18"/>
          <w:lang w:eastAsia="es-MX"/>
        </w:rPr>
        <w:t>1, </w:t>
      </w:r>
      <w:r w:rsidRPr="002B6EF5">
        <w:rPr>
          <w:rFonts w:ascii="Arial" w:eastAsia="Times New Roman" w:hAnsi="Arial" w:cs="Arial"/>
          <w:color w:val="000000"/>
          <w:sz w:val="18"/>
          <w:szCs w:val="18"/>
          <w:lang w:eastAsia="es-MX"/>
        </w:rPr>
        <w:t>6, 8, 9 y</w:t>
      </w:r>
      <w:r w:rsidRPr="002B6EF5">
        <w:rPr>
          <w:rFonts w:ascii="Arial" w:eastAsia="Times New Roman" w:hAnsi="Arial" w:cs="Arial"/>
          <w:color w:val="2F2F2F"/>
          <w:sz w:val="18"/>
          <w:szCs w:val="18"/>
          <w:lang w:eastAsia="es-MX"/>
        </w:rPr>
        <w:t> 21 de la </w:t>
      </w:r>
      <w:r w:rsidRPr="002B6EF5">
        <w:rPr>
          <w:rFonts w:ascii="Arial" w:eastAsia="Times New Roman" w:hAnsi="Arial" w:cs="Arial"/>
          <w:i/>
          <w:iCs/>
          <w:color w:val="2F2F2F"/>
          <w:sz w:val="18"/>
          <w:szCs w:val="18"/>
          <w:lang w:eastAsia="es-MX"/>
        </w:rPr>
        <w:t>Ley Federal de Protección a la Propiedad Industrial</w:t>
      </w:r>
      <w:r w:rsidRPr="002B6EF5">
        <w:rPr>
          <w:rFonts w:ascii="Arial" w:eastAsia="Times New Roman" w:hAnsi="Arial" w:cs="Arial"/>
          <w:color w:val="2F2F2F"/>
          <w:sz w:val="18"/>
          <w:szCs w:val="18"/>
          <w:lang w:eastAsia="es-MX"/>
        </w:rPr>
        <w:t>; 4o. del </w:t>
      </w:r>
      <w:r w:rsidRPr="002B6EF5">
        <w:rPr>
          <w:rFonts w:ascii="Arial" w:eastAsia="Times New Roman" w:hAnsi="Arial" w:cs="Arial"/>
          <w:i/>
          <w:iCs/>
          <w:color w:val="2F2F2F"/>
          <w:sz w:val="18"/>
          <w:szCs w:val="18"/>
          <w:lang w:eastAsia="es-MX"/>
        </w:rPr>
        <w:t>Reglamento de la Ley de la Propiedad Industrial</w:t>
      </w:r>
      <w:r w:rsidRPr="002B6EF5">
        <w:rPr>
          <w:rFonts w:ascii="Arial" w:eastAsia="Times New Roman" w:hAnsi="Arial" w:cs="Arial"/>
          <w:color w:val="2F2F2F"/>
          <w:sz w:val="18"/>
          <w:szCs w:val="18"/>
          <w:lang w:eastAsia="es-MX"/>
        </w:rPr>
        <w:t>; 1o., 3o. fracción II, 4o. y 6o. BIS del </w:t>
      </w:r>
      <w:r w:rsidRPr="002B6EF5">
        <w:rPr>
          <w:rFonts w:ascii="Arial" w:eastAsia="Times New Roman" w:hAnsi="Arial" w:cs="Arial"/>
          <w:i/>
          <w:iCs/>
          <w:color w:val="2F2F2F"/>
          <w:sz w:val="18"/>
          <w:szCs w:val="18"/>
          <w:lang w:eastAsia="es-MX"/>
        </w:rPr>
        <w:t>Reglamento del Instituto Mexicano de la Propiedad Industrial</w:t>
      </w:r>
      <w:r w:rsidRPr="002B6EF5">
        <w:rPr>
          <w:rFonts w:ascii="Arial" w:eastAsia="Times New Roman" w:hAnsi="Arial" w:cs="Arial"/>
          <w:color w:val="2F2F2F"/>
          <w:sz w:val="18"/>
          <w:szCs w:val="18"/>
          <w:lang w:eastAsia="es-MX"/>
        </w:rPr>
        <w:t>, y 1o., 4o., 5o. fracción II, y 10 de su </w:t>
      </w:r>
      <w:r w:rsidRPr="002B6EF5">
        <w:rPr>
          <w:rFonts w:ascii="Arial" w:eastAsia="Times New Roman" w:hAnsi="Arial" w:cs="Arial"/>
          <w:i/>
          <w:iCs/>
          <w:color w:val="2F2F2F"/>
          <w:sz w:val="18"/>
          <w:szCs w:val="18"/>
          <w:lang w:eastAsia="es-MX"/>
        </w:rPr>
        <w:t>Estatuto Orgánico</w:t>
      </w:r>
      <w:r w:rsidRPr="002B6EF5">
        <w:rPr>
          <w:rFonts w:ascii="Arial" w:eastAsia="Times New Roman" w:hAnsi="Arial" w:cs="Arial"/>
          <w:color w:val="2F2F2F"/>
          <w:sz w:val="18"/>
          <w:szCs w:val="18"/>
          <w:lang w:eastAsia="es-MX"/>
        </w:rPr>
        <w:t>, y</w:t>
      </w:r>
    </w:p>
    <w:p w:rsidR="002B6EF5" w:rsidRPr="002B6EF5" w:rsidRDefault="002B6EF5" w:rsidP="002B6EF5">
      <w:pPr>
        <w:shd w:val="clear" w:color="auto" w:fill="FFFFFF"/>
        <w:spacing w:after="44" w:line="240" w:lineRule="auto"/>
        <w:jc w:val="center"/>
        <w:rPr>
          <w:rFonts w:ascii="Times New Roman" w:eastAsia="Times New Roman" w:hAnsi="Times New Roman" w:cs="Times New Roman"/>
          <w:b/>
          <w:bCs/>
          <w:color w:val="2F2F2F"/>
          <w:sz w:val="18"/>
          <w:szCs w:val="18"/>
          <w:lang w:eastAsia="es-MX"/>
        </w:rPr>
      </w:pPr>
      <w:r w:rsidRPr="002B6EF5">
        <w:rPr>
          <w:rFonts w:ascii="Times" w:eastAsia="Times New Roman" w:hAnsi="Times" w:cs="Times New Roman"/>
          <w:b/>
          <w:bCs/>
          <w:color w:val="2F2F2F"/>
          <w:sz w:val="18"/>
          <w:szCs w:val="18"/>
          <w:lang w:eastAsia="es-MX"/>
        </w:rPr>
        <w:t>CONSIDERANDO</w:t>
      </w:r>
    </w:p>
    <w:p w:rsidR="002B6EF5" w:rsidRPr="002B6EF5" w:rsidRDefault="002B6EF5" w:rsidP="002B6EF5">
      <w:pPr>
        <w:shd w:val="clear" w:color="auto" w:fill="FFFFFF"/>
        <w:spacing w:after="44" w:line="240" w:lineRule="auto"/>
        <w:ind w:firstLine="288"/>
        <w:jc w:val="both"/>
        <w:rPr>
          <w:rFonts w:ascii="Arial" w:eastAsia="Times New Roman" w:hAnsi="Arial" w:cs="Arial"/>
          <w:color w:val="2F2F2F"/>
          <w:sz w:val="18"/>
          <w:szCs w:val="18"/>
          <w:lang w:eastAsia="es-MX"/>
        </w:rPr>
      </w:pPr>
      <w:r w:rsidRPr="002B6EF5">
        <w:rPr>
          <w:rFonts w:ascii="Arial" w:eastAsia="Times New Roman" w:hAnsi="Arial" w:cs="Arial"/>
          <w:color w:val="2F2F2F"/>
          <w:sz w:val="18"/>
          <w:szCs w:val="18"/>
          <w:lang w:eastAsia="es-MX"/>
        </w:rPr>
        <w:t>Que el Instituto Mexicano de la Propiedad Industrial, autoridad administrativa en la materia, tiene adscrito al personal requerido para el desarrollo y cumplimiento de las facultades conferidas por la Ley Federal de Protección a la Propiedad Industrial;</w:t>
      </w:r>
    </w:p>
    <w:p w:rsidR="002B6EF5" w:rsidRPr="002B6EF5" w:rsidRDefault="002B6EF5" w:rsidP="002B6EF5">
      <w:pPr>
        <w:shd w:val="clear" w:color="auto" w:fill="FFFFFF"/>
        <w:spacing w:after="44" w:line="240" w:lineRule="auto"/>
        <w:ind w:firstLine="288"/>
        <w:jc w:val="both"/>
        <w:rPr>
          <w:rFonts w:ascii="Arial" w:eastAsia="Times New Roman" w:hAnsi="Arial" w:cs="Arial"/>
          <w:color w:val="2F2F2F"/>
          <w:sz w:val="18"/>
          <w:szCs w:val="18"/>
          <w:lang w:eastAsia="es-MX"/>
        </w:rPr>
      </w:pPr>
      <w:r w:rsidRPr="002B6EF5">
        <w:rPr>
          <w:rFonts w:ascii="Arial" w:eastAsia="Times New Roman" w:hAnsi="Arial" w:cs="Arial"/>
          <w:color w:val="2F2F2F"/>
          <w:sz w:val="18"/>
          <w:szCs w:val="18"/>
          <w:lang w:eastAsia="es-MX"/>
        </w:rPr>
        <w:t>Que la legislación en materia de trabajo establece como derecho de los trabajadores el gozar de vacaciones, mismas que son divididas en dos periodos al año, cada uno de diez días hábiles, y que serán señalados anualmente;</w:t>
      </w:r>
    </w:p>
    <w:p w:rsidR="002B6EF5" w:rsidRPr="002B6EF5" w:rsidRDefault="002B6EF5" w:rsidP="002B6EF5">
      <w:pPr>
        <w:shd w:val="clear" w:color="auto" w:fill="FFFFFF"/>
        <w:spacing w:after="44" w:line="240" w:lineRule="auto"/>
        <w:ind w:firstLine="288"/>
        <w:jc w:val="both"/>
        <w:rPr>
          <w:rFonts w:ascii="Arial" w:eastAsia="Times New Roman" w:hAnsi="Arial" w:cs="Arial"/>
          <w:color w:val="2F2F2F"/>
          <w:sz w:val="18"/>
          <w:szCs w:val="18"/>
          <w:lang w:eastAsia="es-MX"/>
        </w:rPr>
      </w:pPr>
      <w:r w:rsidRPr="002B6EF5">
        <w:rPr>
          <w:rFonts w:ascii="Arial" w:eastAsia="Times New Roman" w:hAnsi="Arial" w:cs="Arial"/>
          <w:color w:val="2F2F2F"/>
          <w:sz w:val="18"/>
          <w:szCs w:val="18"/>
          <w:lang w:eastAsia="es-MX"/>
        </w:rPr>
        <w:t>Que desde la creación del Instituto, el segundo periodo vacacional de sus trabajadores ha coincidido con el mismo periodo vacacional del mes de diciembre establecido por el Calendario Escolar de la Secretaría de Educación Pública, en concordancia con el artículo 76 del </w:t>
      </w:r>
      <w:r w:rsidRPr="002B6EF5">
        <w:rPr>
          <w:rFonts w:ascii="Arial" w:eastAsia="Times New Roman" w:hAnsi="Arial" w:cs="Arial"/>
          <w:i/>
          <w:iCs/>
          <w:color w:val="2F2F2F"/>
          <w:sz w:val="18"/>
          <w:szCs w:val="18"/>
          <w:lang w:eastAsia="es-MX"/>
        </w:rPr>
        <w:t>Acuerdo por el que se emiten las Disposiciones en las materias de Recursos Humanos y del Servicio Profesional de Carrera, así como el Manual Administrativo de Aplicación General en materia de Recursos Humanos y Organización y el Manual del Servicio Profesional de Carrera</w:t>
      </w:r>
      <w:r w:rsidRPr="002B6EF5">
        <w:rPr>
          <w:rFonts w:ascii="Arial" w:eastAsia="Times New Roman" w:hAnsi="Arial" w:cs="Arial"/>
          <w:color w:val="2F2F2F"/>
          <w:sz w:val="18"/>
          <w:szCs w:val="18"/>
          <w:lang w:eastAsia="es-MX"/>
        </w:rPr>
        <w:t>, disposición que rige de manera transversal para toda la Administración Pública Federal;</w:t>
      </w:r>
    </w:p>
    <w:p w:rsidR="002B6EF5" w:rsidRPr="002B6EF5" w:rsidRDefault="002B6EF5" w:rsidP="002B6EF5">
      <w:pPr>
        <w:shd w:val="clear" w:color="auto" w:fill="FFFFFF"/>
        <w:spacing w:after="44" w:line="240" w:lineRule="auto"/>
        <w:ind w:firstLine="288"/>
        <w:jc w:val="both"/>
        <w:rPr>
          <w:rFonts w:ascii="Arial" w:eastAsia="Times New Roman" w:hAnsi="Arial" w:cs="Arial"/>
          <w:color w:val="2F2F2F"/>
          <w:sz w:val="18"/>
          <w:szCs w:val="18"/>
          <w:lang w:eastAsia="es-MX"/>
        </w:rPr>
      </w:pPr>
      <w:r w:rsidRPr="002B6EF5">
        <w:rPr>
          <w:rFonts w:ascii="Arial" w:eastAsia="Times New Roman" w:hAnsi="Arial" w:cs="Arial"/>
          <w:color w:val="2F2F2F"/>
          <w:sz w:val="18"/>
          <w:szCs w:val="18"/>
          <w:lang w:eastAsia="es-MX"/>
        </w:rPr>
        <w:t>Que para el ejercicio 2021 fue expedido el Calendario Escolar, publicado en el Diario Oficial de la Federación el 24 de junio de 2021, mediante </w:t>
      </w:r>
      <w:r w:rsidRPr="002B6EF5">
        <w:rPr>
          <w:rFonts w:ascii="Arial" w:eastAsia="Times New Roman" w:hAnsi="Arial" w:cs="Arial"/>
          <w:i/>
          <w:iCs/>
          <w:color w:val="2F2F2F"/>
          <w:sz w:val="18"/>
          <w:szCs w:val="18"/>
          <w:lang w:eastAsia="es-MX"/>
        </w:rPr>
        <w:t>Acuerdo número 15/06/21 por el que se establecen los calendarios escolares para el ciclo lectivo 2021-2022, aplicables en toda la República para la educación preescolar, primaria, secundaria, normal y demás para la formación de maestros de educación básica</w:t>
      </w:r>
      <w:r w:rsidRPr="002B6EF5">
        <w:rPr>
          <w:rFonts w:ascii="Arial" w:eastAsia="Times New Roman" w:hAnsi="Arial" w:cs="Arial"/>
          <w:color w:val="2F2F2F"/>
          <w:sz w:val="18"/>
          <w:szCs w:val="18"/>
          <w:lang w:eastAsia="es-MX"/>
        </w:rPr>
        <w:t>;</w:t>
      </w:r>
    </w:p>
    <w:p w:rsidR="002B6EF5" w:rsidRPr="002B6EF5" w:rsidRDefault="002B6EF5" w:rsidP="002B6EF5">
      <w:pPr>
        <w:shd w:val="clear" w:color="auto" w:fill="FFFFFF"/>
        <w:spacing w:after="44" w:line="240" w:lineRule="auto"/>
        <w:ind w:firstLine="288"/>
        <w:jc w:val="both"/>
        <w:rPr>
          <w:rFonts w:ascii="Arial" w:eastAsia="Times New Roman" w:hAnsi="Arial" w:cs="Arial"/>
          <w:color w:val="2F2F2F"/>
          <w:sz w:val="18"/>
          <w:szCs w:val="18"/>
          <w:lang w:eastAsia="es-MX"/>
        </w:rPr>
      </w:pPr>
      <w:r w:rsidRPr="002B6EF5">
        <w:rPr>
          <w:rFonts w:ascii="Arial" w:eastAsia="Times New Roman" w:hAnsi="Arial" w:cs="Arial"/>
          <w:color w:val="2F2F2F"/>
          <w:sz w:val="18"/>
          <w:szCs w:val="18"/>
          <w:lang w:eastAsia="es-MX"/>
        </w:rPr>
        <w:t>Que el empatar el segundo periodo vacacional de este Organismo con el Calendario Escolar redunda en el bienestar de sus trabajadores, ya que facilita el desarrollo de actividades de integración familiar, disminuyendo en el mismo periodo la interferencia en la relación trabajo-familia, situación que promueve un entorno organizacional favorable en el Instituto, como centro de trabajo, en consonancia con los objetivos de la </w:t>
      </w:r>
      <w:r w:rsidRPr="002B6EF5">
        <w:rPr>
          <w:rFonts w:ascii="Arial" w:eastAsia="Times New Roman" w:hAnsi="Arial" w:cs="Arial"/>
          <w:i/>
          <w:iCs/>
          <w:color w:val="2F2F2F"/>
          <w:sz w:val="18"/>
          <w:szCs w:val="18"/>
          <w:lang w:eastAsia="es-MX"/>
        </w:rPr>
        <w:t>Norma Oficial Mexicana NOM-035-STPS-2018, Factores de riesgo psicosocial en el trabajo-Identificación, análisis y prevención</w:t>
      </w:r>
      <w:r w:rsidRPr="002B6EF5">
        <w:rPr>
          <w:rFonts w:ascii="Arial" w:eastAsia="Times New Roman" w:hAnsi="Arial" w:cs="Arial"/>
          <w:color w:val="2F2F2F"/>
          <w:sz w:val="18"/>
          <w:szCs w:val="18"/>
          <w:lang w:eastAsia="es-MX"/>
        </w:rPr>
        <w:t>, publicada en el Diario Oficial de la Federación el 23 de octubre de 2018;</w:t>
      </w:r>
    </w:p>
    <w:p w:rsidR="002B6EF5" w:rsidRPr="002B6EF5" w:rsidRDefault="002B6EF5" w:rsidP="002B6EF5">
      <w:pPr>
        <w:shd w:val="clear" w:color="auto" w:fill="FFFFFF"/>
        <w:spacing w:after="44" w:line="240" w:lineRule="auto"/>
        <w:ind w:firstLine="288"/>
        <w:jc w:val="both"/>
        <w:rPr>
          <w:rFonts w:ascii="Arial" w:eastAsia="Times New Roman" w:hAnsi="Arial" w:cs="Arial"/>
          <w:color w:val="2F2F2F"/>
          <w:sz w:val="18"/>
          <w:szCs w:val="18"/>
          <w:lang w:eastAsia="es-MX"/>
        </w:rPr>
      </w:pPr>
      <w:r w:rsidRPr="002B6EF5">
        <w:rPr>
          <w:rFonts w:ascii="Arial" w:eastAsia="Times New Roman" w:hAnsi="Arial" w:cs="Arial"/>
          <w:color w:val="2F2F2F"/>
          <w:sz w:val="18"/>
          <w:szCs w:val="18"/>
          <w:lang w:eastAsia="es-MX"/>
        </w:rPr>
        <w:t>Que en atención a todo lo anterior, se determinó que el segundo periodo vacacional de los trabajadores de este Instituto iniciará el lunes 20 de diciembre de 2021 hasta el viernes 31 de diciembre de 2021, reanudándose las labores el día lunes 03 de enero de 2022, por lo que todas las oficinas de este Instituto permanecerán cerradas, y</w:t>
      </w:r>
    </w:p>
    <w:p w:rsidR="002B6EF5" w:rsidRPr="002B6EF5" w:rsidRDefault="002B6EF5" w:rsidP="002B6EF5">
      <w:pPr>
        <w:shd w:val="clear" w:color="auto" w:fill="FFFFFF"/>
        <w:spacing w:after="44" w:line="240" w:lineRule="auto"/>
        <w:ind w:firstLine="288"/>
        <w:jc w:val="both"/>
        <w:rPr>
          <w:rFonts w:ascii="Arial" w:eastAsia="Times New Roman" w:hAnsi="Arial" w:cs="Arial"/>
          <w:color w:val="2F2F2F"/>
          <w:sz w:val="18"/>
          <w:szCs w:val="18"/>
          <w:lang w:eastAsia="es-MX"/>
        </w:rPr>
      </w:pPr>
      <w:r w:rsidRPr="002B6EF5">
        <w:rPr>
          <w:rFonts w:ascii="Arial" w:eastAsia="Times New Roman" w:hAnsi="Arial" w:cs="Arial"/>
          <w:color w:val="2F2F2F"/>
          <w:sz w:val="18"/>
          <w:szCs w:val="18"/>
          <w:lang w:eastAsia="es-MX"/>
        </w:rPr>
        <w:t>Que a fin de no entorpecer los trámites y servicios que se ofrecen de manera directa al público usuario, así como comunicar el periodo vacacional a los trabajadores de este Instituto, he tenido a bien expedir el siguiente:</w:t>
      </w:r>
    </w:p>
    <w:p w:rsidR="002B6EF5" w:rsidRPr="002B6EF5" w:rsidRDefault="002B6EF5" w:rsidP="002B6EF5">
      <w:pPr>
        <w:shd w:val="clear" w:color="auto" w:fill="FFFFFF"/>
        <w:spacing w:after="44" w:line="240" w:lineRule="auto"/>
        <w:jc w:val="center"/>
        <w:rPr>
          <w:rFonts w:ascii="Times New Roman" w:eastAsia="Times New Roman" w:hAnsi="Times New Roman" w:cs="Times New Roman"/>
          <w:b/>
          <w:bCs/>
          <w:color w:val="2F2F2F"/>
          <w:sz w:val="18"/>
          <w:szCs w:val="18"/>
          <w:lang w:eastAsia="es-MX"/>
        </w:rPr>
      </w:pPr>
      <w:r w:rsidRPr="002B6EF5">
        <w:rPr>
          <w:rFonts w:ascii="Times" w:eastAsia="Times New Roman" w:hAnsi="Times" w:cs="Times New Roman"/>
          <w:b/>
          <w:bCs/>
          <w:color w:val="2F2F2F"/>
          <w:sz w:val="18"/>
          <w:szCs w:val="18"/>
          <w:lang w:eastAsia="es-MX"/>
        </w:rPr>
        <w:t>ACUERDO POR EL QUE SE SUSPENDEN LAS LABORES DEL INSTITUTO MEXICANO DE LA</w:t>
      </w:r>
      <w:r w:rsidRPr="002B6EF5">
        <w:rPr>
          <w:rFonts w:ascii="Times New Roman" w:eastAsia="Times New Roman" w:hAnsi="Times New Roman" w:cs="Times New Roman"/>
          <w:b/>
          <w:bCs/>
          <w:color w:val="2F2F2F"/>
          <w:sz w:val="18"/>
          <w:szCs w:val="18"/>
          <w:lang w:eastAsia="es-MX"/>
        </w:rPr>
        <w:br/>
      </w:r>
      <w:r w:rsidRPr="002B6EF5">
        <w:rPr>
          <w:rFonts w:ascii="Times" w:eastAsia="Times New Roman" w:hAnsi="Times" w:cs="Times New Roman"/>
          <w:b/>
          <w:bCs/>
          <w:color w:val="2F2F2F"/>
          <w:sz w:val="18"/>
          <w:szCs w:val="18"/>
          <w:lang w:eastAsia="es-MX"/>
        </w:rPr>
        <w:t>PROPIEDAD INDUSTRIAL DURANTE EL PERIODO DICIEMBRE 2021-ENERO 2022</w:t>
      </w:r>
    </w:p>
    <w:p w:rsidR="002B6EF5" w:rsidRPr="002B6EF5" w:rsidRDefault="002B6EF5" w:rsidP="002B6EF5">
      <w:pPr>
        <w:shd w:val="clear" w:color="auto" w:fill="FFFFFF"/>
        <w:spacing w:after="44" w:line="240" w:lineRule="auto"/>
        <w:ind w:firstLine="288"/>
        <w:jc w:val="both"/>
        <w:rPr>
          <w:rFonts w:ascii="Arial" w:eastAsia="Times New Roman" w:hAnsi="Arial" w:cs="Arial"/>
          <w:color w:val="2F2F2F"/>
          <w:sz w:val="18"/>
          <w:szCs w:val="18"/>
          <w:lang w:eastAsia="es-MX"/>
        </w:rPr>
      </w:pPr>
      <w:r w:rsidRPr="002B6EF5">
        <w:rPr>
          <w:rFonts w:ascii="Arial" w:eastAsia="Times New Roman" w:hAnsi="Arial" w:cs="Arial"/>
          <w:b/>
          <w:bCs/>
          <w:color w:val="2F2F2F"/>
          <w:sz w:val="18"/>
          <w:szCs w:val="18"/>
          <w:lang w:eastAsia="es-MX"/>
        </w:rPr>
        <w:t>Artículo 1o.</w:t>
      </w:r>
      <w:r w:rsidRPr="002B6EF5">
        <w:rPr>
          <w:rFonts w:ascii="Arial" w:eastAsia="Times New Roman" w:hAnsi="Arial" w:cs="Arial"/>
          <w:color w:val="2F2F2F"/>
          <w:sz w:val="18"/>
          <w:szCs w:val="18"/>
          <w:lang w:eastAsia="es-MX"/>
        </w:rPr>
        <w:t> Se suspenden las labores del Instituto Mexicano de la Propiedad Industrial a partir del día lunes 20 de diciembre de 2021 hasta el día viernes 31 de diciembre de 2021, para reanudarse el día lunes 03 de enero de 2022.</w:t>
      </w:r>
    </w:p>
    <w:p w:rsidR="002B6EF5" w:rsidRPr="002B6EF5" w:rsidRDefault="002B6EF5" w:rsidP="002B6EF5">
      <w:pPr>
        <w:shd w:val="clear" w:color="auto" w:fill="FFFFFF"/>
        <w:spacing w:after="44" w:line="240" w:lineRule="auto"/>
        <w:ind w:firstLine="288"/>
        <w:jc w:val="both"/>
        <w:rPr>
          <w:rFonts w:ascii="Arial" w:eastAsia="Times New Roman" w:hAnsi="Arial" w:cs="Arial"/>
          <w:color w:val="2F2F2F"/>
          <w:sz w:val="18"/>
          <w:szCs w:val="18"/>
          <w:lang w:eastAsia="es-MX"/>
        </w:rPr>
      </w:pPr>
      <w:r w:rsidRPr="002B6EF5">
        <w:rPr>
          <w:rFonts w:ascii="Arial" w:eastAsia="Times New Roman" w:hAnsi="Arial" w:cs="Arial"/>
          <w:b/>
          <w:bCs/>
          <w:color w:val="2F2F2F"/>
          <w:sz w:val="18"/>
          <w:szCs w:val="18"/>
          <w:lang w:eastAsia="es-MX"/>
        </w:rPr>
        <w:t>Artículo 2o.</w:t>
      </w:r>
      <w:r w:rsidRPr="002B6EF5">
        <w:rPr>
          <w:rFonts w:ascii="Arial" w:eastAsia="Times New Roman" w:hAnsi="Arial" w:cs="Arial"/>
          <w:color w:val="2F2F2F"/>
          <w:sz w:val="18"/>
          <w:szCs w:val="18"/>
          <w:lang w:eastAsia="es-MX"/>
        </w:rPr>
        <w:t> Los días comprendidos en la suspensión de labores a que se refiere el artículo anterior, se considerarán como inhábiles, para efectos de lo dispuesto por los artículos 21 de la </w:t>
      </w:r>
      <w:r w:rsidRPr="002B6EF5">
        <w:rPr>
          <w:rFonts w:ascii="Arial" w:eastAsia="Times New Roman" w:hAnsi="Arial" w:cs="Arial"/>
          <w:i/>
          <w:iCs/>
          <w:color w:val="2F2F2F"/>
          <w:sz w:val="18"/>
          <w:szCs w:val="18"/>
          <w:lang w:eastAsia="es-MX"/>
        </w:rPr>
        <w:t>Ley Federal de Protección a la Propiedad Industrial</w:t>
      </w:r>
      <w:r w:rsidRPr="002B6EF5">
        <w:rPr>
          <w:rFonts w:ascii="Arial" w:eastAsia="Times New Roman" w:hAnsi="Arial" w:cs="Arial"/>
          <w:color w:val="2F2F2F"/>
          <w:sz w:val="18"/>
          <w:szCs w:val="18"/>
          <w:lang w:eastAsia="es-MX"/>
        </w:rPr>
        <w:t> y 4o. del </w:t>
      </w:r>
      <w:r w:rsidRPr="002B6EF5">
        <w:rPr>
          <w:rFonts w:ascii="Arial" w:eastAsia="Times New Roman" w:hAnsi="Arial" w:cs="Arial"/>
          <w:i/>
          <w:iCs/>
          <w:color w:val="2F2F2F"/>
          <w:sz w:val="18"/>
          <w:szCs w:val="18"/>
          <w:lang w:eastAsia="es-MX"/>
        </w:rPr>
        <w:t>Reglamento de la Ley de la Propiedad Industrial.</w:t>
      </w:r>
    </w:p>
    <w:p w:rsidR="002B6EF5" w:rsidRPr="002B6EF5" w:rsidRDefault="002B6EF5" w:rsidP="002B6EF5">
      <w:pPr>
        <w:shd w:val="clear" w:color="auto" w:fill="FFFFFF"/>
        <w:spacing w:after="44" w:line="240" w:lineRule="auto"/>
        <w:ind w:firstLine="288"/>
        <w:jc w:val="both"/>
        <w:rPr>
          <w:rFonts w:ascii="Arial" w:eastAsia="Times New Roman" w:hAnsi="Arial" w:cs="Arial"/>
          <w:color w:val="2F2F2F"/>
          <w:sz w:val="18"/>
          <w:szCs w:val="18"/>
          <w:lang w:eastAsia="es-MX"/>
        </w:rPr>
      </w:pPr>
      <w:r w:rsidRPr="002B6EF5">
        <w:rPr>
          <w:rFonts w:ascii="Arial" w:eastAsia="Times New Roman" w:hAnsi="Arial" w:cs="Arial"/>
          <w:b/>
          <w:bCs/>
          <w:color w:val="2F2F2F"/>
          <w:sz w:val="18"/>
          <w:szCs w:val="18"/>
          <w:lang w:eastAsia="es-MX"/>
        </w:rPr>
        <w:t>Artículo 3o.</w:t>
      </w:r>
      <w:r w:rsidRPr="002B6EF5">
        <w:rPr>
          <w:rFonts w:ascii="Arial" w:eastAsia="Times New Roman" w:hAnsi="Arial" w:cs="Arial"/>
          <w:color w:val="2F2F2F"/>
          <w:sz w:val="18"/>
          <w:szCs w:val="18"/>
          <w:lang w:eastAsia="es-MX"/>
        </w:rPr>
        <w:t> Para efectos de las notificaciones o recepción de cualquier comunicación oficial, infórmese a las distintas autoridades, tanto nacionales como extranjeras, según corresponda, que las oficinas de este Instituto permanecerán cerradas en el periodo que se indica en el artículo 1o. del presente Acuerdo.</w:t>
      </w:r>
    </w:p>
    <w:p w:rsidR="002B6EF5" w:rsidRPr="002B6EF5" w:rsidRDefault="002B6EF5" w:rsidP="002B6EF5">
      <w:pPr>
        <w:shd w:val="clear" w:color="auto" w:fill="FFFFFF"/>
        <w:spacing w:after="44" w:line="240" w:lineRule="auto"/>
        <w:jc w:val="center"/>
        <w:rPr>
          <w:rFonts w:ascii="Times New Roman" w:eastAsia="Times New Roman" w:hAnsi="Times New Roman" w:cs="Times New Roman"/>
          <w:b/>
          <w:bCs/>
          <w:color w:val="2F2F2F"/>
          <w:sz w:val="18"/>
          <w:szCs w:val="18"/>
          <w:lang w:eastAsia="es-MX"/>
        </w:rPr>
      </w:pPr>
      <w:r w:rsidRPr="002B6EF5">
        <w:rPr>
          <w:rFonts w:ascii="Times" w:eastAsia="Times New Roman" w:hAnsi="Times" w:cs="Times New Roman"/>
          <w:b/>
          <w:bCs/>
          <w:color w:val="2F2F2F"/>
          <w:sz w:val="18"/>
          <w:szCs w:val="18"/>
          <w:lang w:eastAsia="es-MX"/>
        </w:rPr>
        <w:lastRenderedPageBreak/>
        <w:t>TRANSITORIO</w:t>
      </w:r>
    </w:p>
    <w:p w:rsidR="002B6EF5" w:rsidRPr="002B6EF5" w:rsidRDefault="002B6EF5" w:rsidP="002B6EF5">
      <w:pPr>
        <w:shd w:val="clear" w:color="auto" w:fill="FFFFFF"/>
        <w:spacing w:after="44" w:line="240" w:lineRule="auto"/>
        <w:ind w:firstLine="288"/>
        <w:jc w:val="both"/>
        <w:rPr>
          <w:rFonts w:ascii="Arial" w:eastAsia="Times New Roman" w:hAnsi="Arial" w:cs="Arial"/>
          <w:color w:val="2F2F2F"/>
          <w:sz w:val="18"/>
          <w:szCs w:val="18"/>
          <w:lang w:eastAsia="es-MX"/>
        </w:rPr>
      </w:pPr>
      <w:r w:rsidRPr="002B6EF5">
        <w:rPr>
          <w:rFonts w:ascii="Arial" w:eastAsia="Times New Roman" w:hAnsi="Arial" w:cs="Arial"/>
          <w:b/>
          <w:bCs/>
          <w:color w:val="2F2F2F"/>
          <w:sz w:val="18"/>
          <w:szCs w:val="18"/>
          <w:lang w:eastAsia="es-MX"/>
        </w:rPr>
        <w:t>PRIMERO.-</w:t>
      </w:r>
      <w:r w:rsidRPr="002B6EF5">
        <w:rPr>
          <w:rFonts w:ascii="Arial" w:eastAsia="Times New Roman" w:hAnsi="Arial" w:cs="Arial"/>
          <w:color w:val="2F2F2F"/>
          <w:sz w:val="18"/>
          <w:szCs w:val="18"/>
          <w:lang w:eastAsia="es-MX"/>
        </w:rPr>
        <w:t> El presente Acuerdo entrará en vigor al día hábil siguiente de su publicación en el Diario Oficial de la Federación.</w:t>
      </w:r>
    </w:p>
    <w:p w:rsidR="002B6EF5" w:rsidRPr="002B6EF5" w:rsidRDefault="002B6EF5" w:rsidP="002B6EF5">
      <w:pPr>
        <w:shd w:val="clear" w:color="auto" w:fill="FFFFFF"/>
        <w:spacing w:after="44" w:line="240" w:lineRule="auto"/>
        <w:ind w:firstLine="288"/>
        <w:jc w:val="both"/>
        <w:rPr>
          <w:rFonts w:ascii="Arial" w:eastAsia="Times New Roman" w:hAnsi="Arial" w:cs="Arial"/>
          <w:color w:val="2F2F2F"/>
          <w:sz w:val="18"/>
          <w:szCs w:val="18"/>
          <w:lang w:eastAsia="es-MX"/>
        </w:rPr>
      </w:pPr>
      <w:r w:rsidRPr="002B6EF5">
        <w:rPr>
          <w:rFonts w:ascii="Arial" w:eastAsia="Times New Roman" w:hAnsi="Arial" w:cs="Arial"/>
          <w:b/>
          <w:bCs/>
          <w:color w:val="2F2F2F"/>
          <w:sz w:val="18"/>
          <w:szCs w:val="18"/>
          <w:lang w:eastAsia="es-MX"/>
        </w:rPr>
        <w:t>SEGUNDO.- </w:t>
      </w:r>
      <w:r w:rsidRPr="002B6EF5">
        <w:rPr>
          <w:rFonts w:ascii="Arial" w:eastAsia="Times New Roman" w:hAnsi="Arial" w:cs="Arial"/>
          <w:color w:val="2F2F2F"/>
          <w:sz w:val="18"/>
          <w:szCs w:val="18"/>
          <w:lang w:eastAsia="es-MX"/>
        </w:rPr>
        <w:t>El Instituto Mexicano de la Propiedad Industrial podrá convocar al personal administrativo necesario para atender las necesidades del servicio relacionadas con el cierre del ejercicio presupuestal correspondiente.</w:t>
      </w:r>
    </w:p>
    <w:p w:rsidR="002B6EF5" w:rsidRPr="002B6EF5" w:rsidRDefault="002B6EF5" w:rsidP="002B6EF5">
      <w:pPr>
        <w:shd w:val="clear" w:color="auto" w:fill="FFFFFF"/>
        <w:spacing w:after="44" w:line="240" w:lineRule="auto"/>
        <w:ind w:firstLine="288"/>
        <w:jc w:val="both"/>
        <w:rPr>
          <w:rFonts w:ascii="Arial" w:eastAsia="Times New Roman" w:hAnsi="Arial" w:cs="Arial"/>
          <w:color w:val="2F2F2F"/>
          <w:sz w:val="18"/>
          <w:szCs w:val="18"/>
          <w:lang w:eastAsia="es-MX"/>
        </w:rPr>
      </w:pPr>
      <w:r w:rsidRPr="002B6EF5">
        <w:rPr>
          <w:rFonts w:ascii="Arial" w:eastAsia="Times New Roman" w:hAnsi="Arial" w:cs="Arial"/>
          <w:color w:val="2F2F2F"/>
          <w:sz w:val="18"/>
          <w:szCs w:val="18"/>
          <w:lang w:eastAsia="es-MX"/>
        </w:rPr>
        <w:t>Ciudad de México, a 18 de octubre de 2021.- El Director General, </w:t>
      </w:r>
      <w:r w:rsidRPr="002B6EF5">
        <w:rPr>
          <w:rFonts w:ascii="Arial" w:eastAsia="Times New Roman" w:hAnsi="Arial" w:cs="Arial"/>
          <w:b/>
          <w:bCs/>
          <w:color w:val="2F2F2F"/>
          <w:sz w:val="18"/>
          <w:szCs w:val="18"/>
          <w:lang w:eastAsia="es-MX"/>
        </w:rPr>
        <w:t>Alfredo Carlos Rendón Algara</w:t>
      </w:r>
      <w:r w:rsidRPr="002B6EF5">
        <w:rPr>
          <w:rFonts w:ascii="Arial" w:eastAsia="Times New Roman" w:hAnsi="Arial" w:cs="Arial"/>
          <w:color w:val="2F2F2F"/>
          <w:sz w:val="18"/>
          <w:szCs w:val="18"/>
          <w:lang w:eastAsia="es-MX"/>
        </w:rPr>
        <w:t>.- Rúbrica.</w:t>
      </w:r>
      <w:bookmarkStart w:id="0" w:name="_GoBack"/>
      <w:bookmarkEnd w:id="0"/>
    </w:p>
    <w:sectPr w:rsidR="002B6EF5" w:rsidRPr="002B6E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EF5"/>
    <w:rsid w:val="002B6EF5"/>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E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E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254686">
      <w:bodyDiv w:val="1"/>
      <w:marLeft w:val="0"/>
      <w:marRight w:val="0"/>
      <w:marTop w:val="0"/>
      <w:marBottom w:val="0"/>
      <w:divBdr>
        <w:top w:val="none" w:sz="0" w:space="0" w:color="auto"/>
        <w:left w:val="none" w:sz="0" w:space="0" w:color="auto"/>
        <w:bottom w:val="none" w:sz="0" w:space="0" w:color="auto"/>
        <w:right w:val="none" w:sz="0" w:space="0" w:color="auto"/>
      </w:divBdr>
      <w:divsChild>
        <w:div w:id="1523015064">
          <w:marLeft w:val="0"/>
          <w:marRight w:val="0"/>
          <w:marTop w:val="0"/>
          <w:marBottom w:val="44"/>
          <w:divBdr>
            <w:top w:val="none" w:sz="0" w:space="0" w:color="auto"/>
            <w:left w:val="none" w:sz="0" w:space="0" w:color="auto"/>
            <w:bottom w:val="none" w:sz="0" w:space="0" w:color="auto"/>
            <w:right w:val="none" w:sz="0" w:space="0" w:color="auto"/>
          </w:divBdr>
        </w:div>
        <w:div w:id="929849671">
          <w:marLeft w:val="0"/>
          <w:marRight w:val="0"/>
          <w:marTop w:val="101"/>
          <w:marBottom w:val="44"/>
          <w:divBdr>
            <w:top w:val="none" w:sz="0" w:space="0" w:color="auto"/>
            <w:left w:val="none" w:sz="0" w:space="0" w:color="auto"/>
            <w:bottom w:val="none" w:sz="0" w:space="0" w:color="auto"/>
            <w:right w:val="none" w:sz="0" w:space="0" w:color="auto"/>
          </w:divBdr>
        </w:div>
        <w:div w:id="2098289418">
          <w:marLeft w:val="0"/>
          <w:marRight w:val="0"/>
          <w:marTop w:val="0"/>
          <w:marBottom w:val="44"/>
          <w:divBdr>
            <w:top w:val="none" w:sz="0" w:space="0" w:color="auto"/>
            <w:left w:val="none" w:sz="0" w:space="0" w:color="auto"/>
            <w:bottom w:val="none" w:sz="0" w:space="0" w:color="auto"/>
            <w:right w:val="none" w:sz="0" w:space="0" w:color="auto"/>
          </w:divBdr>
        </w:div>
        <w:div w:id="706029424">
          <w:marLeft w:val="0"/>
          <w:marRight w:val="0"/>
          <w:marTop w:val="0"/>
          <w:marBottom w:val="44"/>
          <w:divBdr>
            <w:top w:val="none" w:sz="0" w:space="0" w:color="auto"/>
            <w:left w:val="none" w:sz="0" w:space="0" w:color="auto"/>
            <w:bottom w:val="none" w:sz="0" w:space="0" w:color="auto"/>
            <w:right w:val="none" w:sz="0" w:space="0" w:color="auto"/>
          </w:divBdr>
        </w:div>
        <w:div w:id="2013483530">
          <w:marLeft w:val="0"/>
          <w:marRight w:val="0"/>
          <w:marTop w:val="0"/>
          <w:marBottom w:val="44"/>
          <w:divBdr>
            <w:top w:val="none" w:sz="0" w:space="0" w:color="auto"/>
            <w:left w:val="none" w:sz="0" w:space="0" w:color="auto"/>
            <w:bottom w:val="none" w:sz="0" w:space="0" w:color="auto"/>
            <w:right w:val="none" w:sz="0" w:space="0" w:color="auto"/>
          </w:divBdr>
        </w:div>
        <w:div w:id="1514492660">
          <w:marLeft w:val="0"/>
          <w:marRight w:val="0"/>
          <w:marTop w:val="0"/>
          <w:marBottom w:val="44"/>
          <w:divBdr>
            <w:top w:val="none" w:sz="0" w:space="0" w:color="auto"/>
            <w:left w:val="none" w:sz="0" w:space="0" w:color="auto"/>
            <w:bottom w:val="none" w:sz="0" w:space="0" w:color="auto"/>
            <w:right w:val="none" w:sz="0" w:space="0" w:color="auto"/>
          </w:divBdr>
        </w:div>
        <w:div w:id="1980380081">
          <w:marLeft w:val="0"/>
          <w:marRight w:val="0"/>
          <w:marTop w:val="0"/>
          <w:marBottom w:val="44"/>
          <w:divBdr>
            <w:top w:val="none" w:sz="0" w:space="0" w:color="auto"/>
            <w:left w:val="none" w:sz="0" w:space="0" w:color="auto"/>
            <w:bottom w:val="none" w:sz="0" w:space="0" w:color="auto"/>
            <w:right w:val="none" w:sz="0" w:space="0" w:color="auto"/>
          </w:divBdr>
        </w:div>
        <w:div w:id="737750670">
          <w:marLeft w:val="0"/>
          <w:marRight w:val="0"/>
          <w:marTop w:val="0"/>
          <w:marBottom w:val="44"/>
          <w:divBdr>
            <w:top w:val="none" w:sz="0" w:space="0" w:color="auto"/>
            <w:left w:val="none" w:sz="0" w:space="0" w:color="auto"/>
            <w:bottom w:val="none" w:sz="0" w:space="0" w:color="auto"/>
            <w:right w:val="none" w:sz="0" w:space="0" w:color="auto"/>
          </w:divBdr>
        </w:div>
        <w:div w:id="87384623">
          <w:marLeft w:val="0"/>
          <w:marRight w:val="0"/>
          <w:marTop w:val="0"/>
          <w:marBottom w:val="44"/>
          <w:divBdr>
            <w:top w:val="none" w:sz="0" w:space="0" w:color="auto"/>
            <w:left w:val="none" w:sz="0" w:space="0" w:color="auto"/>
            <w:bottom w:val="none" w:sz="0" w:space="0" w:color="auto"/>
            <w:right w:val="none" w:sz="0" w:space="0" w:color="auto"/>
          </w:divBdr>
        </w:div>
        <w:div w:id="1554583942">
          <w:marLeft w:val="0"/>
          <w:marRight w:val="0"/>
          <w:marTop w:val="101"/>
          <w:marBottom w:val="44"/>
          <w:divBdr>
            <w:top w:val="none" w:sz="0" w:space="0" w:color="auto"/>
            <w:left w:val="none" w:sz="0" w:space="0" w:color="auto"/>
            <w:bottom w:val="none" w:sz="0" w:space="0" w:color="auto"/>
            <w:right w:val="none" w:sz="0" w:space="0" w:color="auto"/>
          </w:divBdr>
        </w:div>
        <w:div w:id="1387799596">
          <w:marLeft w:val="0"/>
          <w:marRight w:val="0"/>
          <w:marTop w:val="0"/>
          <w:marBottom w:val="44"/>
          <w:divBdr>
            <w:top w:val="none" w:sz="0" w:space="0" w:color="auto"/>
            <w:left w:val="none" w:sz="0" w:space="0" w:color="auto"/>
            <w:bottom w:val="none" w:sz="0" w:space="0" w:color="auto"/>
            <w:right w:val="none" w:sz="0" w:space="0" w:color="auto"/>
          </w:divBdr>
        </w:div>
        <w:div w:id="1254045160">
          <w:marLeft w:val="0"/>
          <w:marRight w:val="0"/>
          <w:marTop w:val="0"/>
          <w:marBottom w:val="44"/>
          <w:divBdr>
            <w:top w:val="none" w:sz="0" w:space="0" w:color="auto"/>
            <w:left w:val="none" w:sz="0" w:space="0" w:color="auto"/>
            <w:bottom w:val="none" w:sz="0" w:space="0" w:color="auto"/>
            <w:right w:val="none" w:sz="0" w:space="0" w:color="auto"/>
          </w:divBdr>
        </w:div>
        <w:div w:id="717124606">
          <w:marLeft w:val="0"/>
          <w:marRight w:val="0"/>
          <w:marTop w:val="0"/>
          <w:marBottom w:val="44"/>
          <w:divBdr>
            <w:top w:val="none" w:sz="0" w:space="0" w:color="auto"/>
            <w:left w:val="none" w:sz="0" w:space="0" w:color="auto"/>
            <w:bottom w:val="none" w:sz="0" w:space="0" w:color="auto"/>
            <w:right w:val="none" w:sz="0" w:space="0" w:color="auto"/>
          </w:divBdr>
        </w:div>
        <w:div w:id="246309756">
          <w:marLeft w:val="0"/>
          <w:marRight w:val="0"/>
          <w:marTop w:val="101"/>
          <w:marBottom w:val="44"/>
          <w:divBdr>
            <w:top w:val="none" w:sz="0" w:space="0" w:color="auto"/>
            <w:left w:val="none" w:sz="0" w:space="0" w:color="auto"/>
            <w:bottom w:val="none" w:sz="0" w:space="0" w:color="auto"/>
            <w:right w:val="none" w:sz="0" w:space="0" w:color="auto"/>
          </w:divBdr>
        </w:div>
        <w:div w:id="790053346">
          <w:marLeft w:val="0"/>
          <w:marRight w:val="0"/>
          <w:marTop w:val="0"/>
          <w:marBottom w:val="44"/>
          <w:divBdr>
            <w:top w:val="none" w:sz="0" w:space="0" w:color="auto"/>
            <w:left w:val="none" w:sz="0" w:space="0" w:color="auto"/>
            <w:bottom w:val="none" w:sz="0" w:space="0" w:color="auto"/>
            <w:right w:val="none" w:sz="0" w:space="0" w:color="auto"/>
          </w:divBdr>
        </w:div>
        <w:div w:id="272129233">
          <w:marLeft w:val="0"/>
          <w:marRight w:val="0"/>
          <w:marTop w:val="0"/>
          <w:marBottom w:val="44"/>
          <w:divBdr>
            <w:top w:val="none" w:sz="0" w:space="0" w:color="auto"/>
            <w:left w:val="none" w:sz="0" w:space="0" w:color="auto"/>
            <w:bottom w:val="none" w:sz="0" w:space="0" w:color="auto"/>
            <w:right w:val="none" w:sz="0" w:space="0" w:color="auto"/>
          </w:divBdr>
        </w:div>
        <w:div w:id="1924483246">
          <w:marLeft w:val="0"/>
          <w:marRight w:val="0"/>
          <w:marTop w:val="0"/>
          <w:marBottom w:val="4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4280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2021-10-26T05:18:00Z</dcterms:created>
  <dcterms:modified xsi:type="dcterms:W3CDTF">2021-10-26T05:19:00Z</dcterms:modified>
</cp:coreProperties>
</file>