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virtual extraordinaria de veintisiete de julio dos mil veinte, por el que se establecen los Lineamientos para la reapertura de actividades y la aplicación del Protocolo Sanitario en las Salas y Unidades Administrativas que integran este órgano colegiado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agosto de 2020)</w:t>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 Secretaría General de Acuerdos.</w:t>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VIRTUAL EXTRAORDINARIA DE VEINTISIETE DE JULIO DOS MIL VEINTE, POR EL QUE SE ESTABLECEN LOS LINEAMIENTOS PARA LA REAPERTURA DE ACTIVIDADES Y LA APLICACIÓN DEL PROTOCOLO SANITARIO EN LAS SALAS Y UNIDADES ADMINISTRATIVAS QUE INTEGRAN ESTE ÓRGANO COLEGIADO.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Mediante acuerdo de veinticuatro de julio de dos mil veinte, dictado por el Pleno de este Órgano Jurisdiccional, en esta misma Sesión virtual extraordinaria, se probó el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el cual, entrará en vigor a partir del tres de agosto de dos mil veinte, siendo de observancia obligatoria; por lo que, deberá ser cumplido y respetado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123 constitucional, apartado B, fracción XII, primer párrafo, establece:</w:t>
      </w:r>
    </w:p>
    <w:p w:rsidR="00000000" w:rsidDel="00000000" w:rsidP="00000000" w:rsidRDefault="00000000" w:rsidRPr="00000000" w14:paraId="00000009">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A">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B">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0C">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D">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124 "A" de la Ley Federal de los Trabajadores al Servicio del Estado, la competencia del Pleno del Tribunal Federal de Conciliación y Arbitraje, el cual, para mayor referencia a continuación se transcribe:</w:t>
      </w:r>
    </w:p>
    <w:p w:rsidR="00000000" w:rsidDel="00000000" w:rsidP="00000000" w:rsidRDefault="00000000" w:rsidRPr="00000000" w14:paraId="00000010">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1">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2">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3">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Tramitar y resolver los asuntos a que se refieren las fracciones II, III, IV y V del artículo anterior;</w:t>
      </w:r>
    </w:p>
    <w:p w:rsidR="00000000" w:rsidDel="00000000" w:rsidP="00000000" w:rsidRDefault="00000000" w:rsidRPr="00000000" w14:paraId="00000014">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5">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w:t>
      </w:r>
    </w:p>
    <w:p w:rsidR="00000000" w:rsidDel="00000000" w:rsidP="00000000" w:rsidRDefault="00000000" w:rsidRPr="00000000" w14:paraId="00000017">
      <w:pPr>
        <w:shd w:fill="ffffff" w:val="clear"/>
        <w:spacing w:after="100" w:lineRule="auto"/>
        <w:jc w:val="both"/>
        <w:rPr>
          <w:color w:val="2f2f2f"/>
          <w:sz w:val="18"/>
          <w:szCs w:val="18"/>
        </w:rPr>
      </w:pPr>
      <w:r w:rsidDel="00000000" w:rsidR="00000000" w:rsidRPr="00000000">
        <w:rPr>
          <w:color w:val="2f2f2f"/>
          <w:sz w:val="18"/>
          <w:szCs w:val="18"/>
          <w:rtl w:val="0"/>
        </w:rPr>
        <w:t xml:space="preserve">disponen:</w:t>
      </w:r>
    </w:p>
    <w:p w:rsidR="00000000" w:rsidDel="00000000" w:rsidP="00000000" w:rsidRDefault="00000000" w:rsidRPr="00000000" w14:paraId="00000018">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19">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A">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 obligatorias.</w:t>
      </w:r>
    </w:p>
    <w:p w:rsidR="00000000" w:rsidDel="00000000" w:rsidP="00000000" w:rsidRDefault="00000000" w:rsidRPr="00000000" w14:paraId="0000001B">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C">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1D">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1E">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1F">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0">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1">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2">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de las disposiciones legales transcritas se desprende que el Tribunal Federal de Conciliación y Arbitraje es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Con el propósito de aplicar las medidas sanitarias previstas en el Protocolo Sanitario para el Reinicio de Actividades en el Tribunal Federal de Conciliación y Arbitraje, las Salas y Unidades Administrativas que lo integran, operarán con un porcentaje de entre el 30 % y el 50 % del personal adscrito a cada una de ellas, de manera presencial; por lo que, al resto de los trabajadores se les deberá asignar trabajo en casa y/o a distancia a través de los medios electrónicos correspondientes. Siendo los Titulares de las Salas y Unidades Administrativas los encargados de coordinar y supervisar el cumplimiento de las actividades encomendadas a los trabajadores que laboren desde casa y/o a distancia.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Las Salas y Unidades Administrativas que integran este Tribunal, en colaboración con el personal de protección civil y de salud adscritos a la Dirección General de Administración, serán las encargadas de verificar qué se lleve a cabo el cumplimiento de las medidas sanitarias establecidas en el Protocolo Sanitario, únicamente, respecto de los servidores públicos que tengan adscritos.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anterior, deberán remitir a la Dirección General de Administración a más tardar el treinta de julio de dos mil veinte, los roles de trabajo del personal, así como el listado de personas que se encuentren en situación de vulnerabilidad que establece el Protocolo Sanitario para el Reinicio de Actividades en el Tribunal Federal de Conciliación y Arbitraje.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es importante señalar que la Contraloría Interna de este Tribunal, podrá establecer medidas y recomendaciones que considere necesarias a las áreas correspondientes, con el objeto de hacer cumplir el Protocolo Sanitario para el Reinicio de Actividades en el Tribunal Federal de Conciliación y Arbitraje.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Con la finalidad de dar cumplimiento a los lineamientos estratégicos para la reapertura de las actividades laborales en este Órgano Jurisdiccional, a partir del tres de agosto de dos mil veinte, la atención al público en las Salas, en la Procuraduría y en la Secretaría General de Acuerdos, se llevará a cabo conforme al último dígito del número de expediente, en la siguiente forma: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1095"/>
        <w:gridCol w:w="1290"/>
        <w:gridCol w:w="1695"/>
        <w:gridCol w:w="1230"/>
        <w:gridCol w:w="1455"/>
        <w:tblGridChange w:id="0">
          <w:tblGrid>
            <w:gridCol w:w="2040"/>
            <w:gridCol w:w="1095"/>
            <w:gridCol w:w="1290"/>
            <w:gridCol w:w="1695"/>
            <w:gridCol w:w="1230"/>
            <w:gridCol w:w="145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LUNES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8"/>
                <w:szCs w:val="18"/>
              </w:rPr>
            </w:pPr>
            <w:r w:rsidDel="00000000" w:rsidR="00000000" w:rsidRPr="00000000">
              <w:rPr>
                <w:b w:val="1"/>
                <w:sz w:val="18"/>
                <w:szCs w:val="18"/>
                <w:rtl w:val="0"/>
              </w:rPr>
              <w:t xml:space="preserve">MARTES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8"/>
                <w:szCs w:val="18"/>
              </w:rPr>
            </w:pPr>
            <w:r w:rsidDel="00000000" w:rsidR="00000000" w:rsidRPr="00000000">
              <w:rPr>
                <w:b w:val="1"/>
                <w:sz w:val="18"/>
                <w:szCs w:val="18"/>
                <w:rtl w:val="0"/>
              </w:rPr>
              <w:t xml:space="preserve">MIÉRCOLES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8"/>
                <w:szCs w:val="18"/>
              </w:rPr>
            </w:pPr>
            <w:r w:rsidDel="00000000" w:rsidR="00000000" w:rsidRPr="00000000">
              <w:rPr>
                <w:b w:val="1"/>
                <w:sz w:val="18"/>
                <w:szCs w:val="18"/>
                <w:rtl w:val="0"/>
              </w:rPr>
              <w:t xml:space="preserve">JUEVES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8"/>
                <w:szCs w:val="18"/>
              </w:rPr>
            </w:pPr>
            <w:r w:rsidDel="00000000" w:rsidR="00000000" w:rsidRPr="00000000">
              <w:rPr>
                <w:b w:val="1"/>
                <w:sz w:val="18"/>
                <w:szCs w:val="18"/>
                <w:rtl w:val="0"/>
              </w:rPr>
              <w:t xml:space="preserve">VIERNES</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center"/>
              <w:rPr>
                <w:b w:val="1"/>
                <w:sz w:val="18"/>
                <w:szCs w:val="18"/>
              </w:rPr>
            </w:pPr>
            <w:r w:rsidDel="00000000" w:rsidR="00000000" w:rsidRPr="00000000">
              <w:rPr>
                <w:b w:val="1"/>
                <w:sz w:val="18"/>
                <w:szCs w:val="18"/>
                <w:rtl w:val="0"/>
              </w:rPr>
              <w:t xml:space="preserve">EXPEDIENTES CON</w:t>
            </w:r>
          </w:p>
          <w:p w:rsidR="00000000" w:rsidDel="00000000" w:rsidP="00000000" w:rsidRDefault="00000000" w:rsidRPr="00000000" w14:paraId="00000031">
            <w:pPr>
              <w:spacing w:after="100" w:lineRule="auto"/>
              <w:ind w:left="80" w:firstLine="0"/>
              <w:jc w:val="center"/>
              <w:rPr>
                <w:b w:val="1"/>
                <w:sz w:val="18"/>
                <w:szCs w:val="18"/>
              </w:rPr>
            </w:pPr>
            <w:r w:rsidDel="00000000" w:rsidR="00000000" w:rsidRPr="00000000">
              <w:rPr>
                <w:b w:val="1"/>
                <w:sz w:val="18"/>
                <w:szCs w:val="18"/>
                <w:rtl w:val="0"/>
              </w:rPr>
              <w:t xml:space="preserve">TERMINACIÓN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center"/>
              <w:rPr>
                <w:b w:val="1"/>
                <w:sz w:val="18"/>
                <w:szCs w:val="18"/>
              </w:rPr>
            </w:pPr>
            <w:r w:rsidDel="00000000" w:rsidR="00000000" w:rsidRPr="00000000">
              <w:rPr>
                <w:b w:val="1"/>
                <w:sz w:val="18"/>
                <w:szCs w:val="18"/>
                <w:rtl w:val="0"/>
              </w:rPr>
              <w:t xml:space="preserve">1 y 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8"/>
                <w:szCs w:val="18"/>
              </w:rPr>
            </w:pPr>
            <w:r w:rsidDel="00000000" w:rsidR="00000000" w:rsidRPr="00000000">
              <w:rPr>
                <w:b w:val="1"/>
                <w:sz w:val="18"/>
                <w:szCs w:val="18"/>
                <w:rtl w:val="0"/>
              </w:rPr>
              <w:t xml:space="preserve">3 y 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5 y 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b w:val="1"/>
                <w:sz w:val="18"/>
                <w:szCs w:val="18"/>
              </w:rPr>
            </w:pPr>
            <w:r w:rsidDel="00000000" w:rsidR="00000000" w:rsidRPr="00000000">
              <w:rPr>
                <w:b w:val="1"/>
                <w:sz w:val="18"/>
                <w:szCs w:val="18"/>
                <w:rtl w:val="0"/>
              </w:rPr>
              <w:t xml:space="preserve">7 y 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8"/>
                <w:szCs w:val="18"/>
              </w:rPr>
            </w:pPr>
            <w:r w:rsidDel="00000000" w:rsidR="00000000" w:rsidRPr="00000000">
              <w:rPr>
                <w:b w:val="1"/>
                <w:sz w:val="18"/>
                <w:szCs w:val="18"/>
                <w:rtl w:val="0"/>
              </w:rPr>
              <w:t xml:space="preserve">9 y 0</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Con el objeto evitar la concentración de personas para neutralizar en medida de lo posible, el riesgo de contagio del SARS-CoV2 (COVID-19) y salvaguardar la salud de los trabajadores y usuarios del Tribunal Federal de Conciliación y Arbitraje, a partir del tres de agosto de dos mil veinte, la Oficialía de Partes de este Órgano Colegiado tendrá un horario de atención al público de las 8:30 a las 15:30 horas de lunes a viernes; asimismo, la recepción de promociones, oficios y documentos se llevará a cabo conforme al último dígito del número de expediente, en la siguiente forma: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1095"/>
        <w:gridCol w:w="1290"/>
        <w:gridCol w:w="1695"/>
        <w:gridCol w:w="1230"/>
        <w:gridCol w:w="1455"/>
        <w:tblGridChange w:id="0">
          <w:tblGrid>
            <w:gridCol w:w="2040"/>
            <w:gridCol w:w="1095"/>
            <w:gridCol w:w="1290"/>
            <w:gridCol w:w="1695"/>
            <w:gridCol w:w="1230"/>
            <w:gridCol w:w="145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sz w:val="18"/>
                <w:szCs w:val="18"/>
              </w:rPr>
            </w:pPr>
            <w:r w:rsidDel="00000000" w:rsidR="00000000" w:rsidRPr="00000000">
              <w:rPr>
                <w:b w:val="1"/>
                <w:sz w:val="18"/>
                <w:szCs w:val="18"/>
                <w:rtl w:val="0"/>
              </w:rPr>
              <w:t xml:space="preserve">LUNES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8"/>
                <w:szCs w:val="18"/>
              </w:rPr>
            </w:pPr>
            <w:r w:rsidDel="00000000" w:rsidR="00000000" w:rsidRPr="00000000">
              <w:rPr>
                <w:b w:val="1"/>
                <w:sz w:val="18"/>
                <w:szCs w:val="18"/>
                <w:rtl w:val="0"/>
              </w:rPr>
              <w:t xml:space="preserve">MARTES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C">
            <w:pPr>
              <w:spacing w:after="100" w:lineRule="auto"/>
              <w:ind w:left="80" w:firstLine="0"/>
              <w:jc w:val="center"/>
              <w:rPr>
                <w:b w:val="1"/>
                <w:sz w:val="18"/>
                <w:szCs w:val="18"/>
              </w:rPr>
            </w:pPr>
            <w:r w:rsidDel="00000000" w:rsidR="00000000" w:rsidRPr="00000000">
              <w:rPr>
                <w:b w:val="1"/>
                <w:sz w:val="18"/>
                <w:szCs w:val="18"/>
                <w:rtl w:val="0"/>
              </w:rPr>
              <w:t xml:space="preserve">MIÉRCOLES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center"/>
              <w:rPr>
                <w:b w:val="1"/>
                <w:sz w:val="18"/>
                <w:szCs w:val="18"/>
              </w:rPr>
            </w:pPr>
            <w:r w:rsidDel="00000000" w:rsidR="00000000" w:rsidRPr="00000000">
              <w:rPr>
                <w:b w:val="1"/>
                <w:sz w:val="18"/>
                <w:szCs w:val="18"/>
                <w:rtl w:val="0"/>
              </w:rPr>
              <w:t xml:space="preserve">JUEVES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center"/>
              <w:rPr>
                <w:b w:val="1"/>
                <w:sz w:val="18"/>
                <w:szCs w:val="18"/>
              </w:rPr>
            </w:pPr>
            <w:r w:rsidDel="00000000" w:rsidR="00000000" w:rsidRPr="00000000">
              <w:rPr>
                <w:b w:val="1"/>
                <w:sz w:val="18"/>
                <w:szCs w:val="18"/>
                <w:rtl w:val="0"/>
              </w:rPr>
              <w:t xml:space="preserve">VIERNES</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center"/>
              <w:rPr>
                <w:b w:val="1"/>
                <w:sz w:val="18"/>
                <w:szCs w:val="18"/>
              </w:rPr>
            </w:pPr>
            <w:r w:rsidDel="00000000" w:rsidR="00000000" w:rsidRPr="00000000">
              <w:rPr>
                <w:b w:val="1"/>
                <w:sz w:val="18"/>
                <w:szCs w:val="18"/>
                <w:rtl w:val="0"/>
              </w:rPr>
              <w:t xml:space="preserve">EXPEDIENTES CON</w:t>
            </w:r>
          </w:p>
          <w:p w:rsidR="00000000" w:rsidDel="00000000" w:rsidP="00000000" w:rsidRDefault="00000000" w:rsidRPr="00000000" w14:paraId="00000040">
            <w:pPr>
              <w:spacing w:after="100" w:lineRule="auto"/>
              <w:ind w:left="80" w:firstLine="0"/>
              <w:jc w:val="center"/>
              <w:rPr>
                <w:b w:val="1"/>
                <w:sz w:val="18"/>
                <w:szCs w:val="18"/>
              </w:rPr>
            </w:pPr>
            <w:r w:rsidDel="00000000" w:rsidR="00000000" w:rsidRPr="00000000">
              <w:rPr>
                <w:b w:val="1"/>
                <w:sz w:val="18"/>
                <w:szCs w:val="18"/>
                <w:rtl w:val="0"/>
              </w:rPr>
              <w:t xml:space="preserve">TERMINACIÓN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8"/>
                <w:szCs w:val="18"/>
              </w:rPr>
            </w:pPr>
            <w:r w:rsidDel="00000000" w:rsidR="00000000" w:rsidRPr="00000000">
              <w:rPr>
                <w:b w:val="1"/>
                <w:sz w:val="18"/>
                <w:szCs w:val="18"/>
                <w:rtl w:val="0"/>
              </w:rPr>
              <w:t xml:space="preserve">1 y 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b w:val="1"/>
                <w:sz w:val="18"/>
                <w:szCs w:val="18"/>
              </w:rPr>
            </w:pPr>
            <w:r w:rsidDel="00000000" w:rsidR="00000000" w:rsidRPr="00000000">
              <w:rPr>
                <w:b w:val="1"/>
                <w:sz w:val="18"/>
                <w:szCs w:val="18"/>
                <w:rtl w:val="0"/>
              </w:rPr>
              <w:t xml:space="preserve">3 y 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8"/>
                <w:szCs w:val="18"/>
              </w:rPr>
            </w:pPr>
            <w:r w:rsidDel="00000000" w:rsidR="00000000" w:rsidRPr="00000000">
              <w:rPr>
                <w:b w:val="1"/>
                <w:sz w:val="18"/>
                <w:szCs w:val="18"/>
                <w:rtl w:val="0"/>
              </w:rPr>
              <w:t xml:space="preserve">5 y 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b w:val="1"/>
                <w:sz w:val="18"/>
                <w:szCs w:val="18"/>
              </w:rPr>
            </w:pPr>
            <w:r w:rsidDel="00000000" w:rsidR="00000000" w:rsidRPr="00000000">
              <w:rPr>
                <w:b w:val="1"/>
                <w:sz w:val="18"/>
                <w:szCs w:val="18"/>
                <w:rtl w:val="0"/>
              </w:rPr>
              <w:t xml:space="preserve">7 y 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8"/>
                <w:szCs w:val="18"/>
              </w:rPr>
            </w:pPr>
            <w:r w:rsidDel="00000000" w:rsidR="00000000" w:rsidRPr="00000000">
              <w:rPr>
                <w:b w:val="1"/>
                <w:sz w:val="18"/>
                <w:szCs w:val="18"/>
                <w:rtl w:val="0"/>
              </w:rPr>
              <w:t xml:space="preserve">9 y 0</w:t>
            </w:r>
          </w:p>
        </w:tc>
      </w:tr>
    </w:tbl>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Siendo importante señalar que quedan exceptuadas de la medida anterior, aquellas promociones que tengan establecido un término legal para su presentación, así como las demandas y solitudes iniciales.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4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Pleno del Tribunal Federal de Conciliación y Arbitraje establece los lineamientos para la reapertura de actividades y aplicación del protocolo sanitario en las Salas y Unidades Administrativas que integran este Órgano Colegiado, que estarán vigentes a partir del tres de agosto de dos mil veinte; lo anterior, en términos de lo expuesto y fundado en la parte considerativa de la presente resolución.</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instruye a la Secretaría General de Acuerdos, para que mediante el oficio de estilo correspondiente comunique el presente acuerdo a la Coordinación de los Juzgados de Distrito en Materia de Trabajo en la Ciudad de México, así como a la Coordinación de los Tribunales Colegiado de Circuito en Materia de Trabajo del Primer Circuitos, para los efectos legales conducentes, debiendo acusar copia a la Presidencia del Consejo de la Judicatura Federal.</w:t>
      </w:r>
    </w:p>
    <w:p w:rsidR="00000000" w:rsidDel="00000000" w:rsidP="00000000" w:rsidRDefault="00000000" w:rsidRPr="00000000" w14:paraId="0000004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medidas establecidas en el presente acuerdo estarán vigentes a partir del tres de agosto de dos mil veinte y hasta que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publico usurario.</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acordaron por</w:t>
      </w:r>
      <w:r w:rsidDel="00000000" w:rsidR="00000000" w:rsidRPr="00000000">
        <w:rPr>
          <w:b w:val="1"/>
          <w:color w:val="2f2f2f"/>
          <w:sz w:val="18"/>
          <w:szCs w:val="18"/>
          <w:rtl w:val="0"/>
        </w:rPr>
        <w:t xml:space="preserve"> UNANIMIDAD </w:t>
      </w:r>
      <w:r w:rsidDel="00000000" w:rsidR="00000000" w:rsidRPr="00000000">
        <w:rPr>
          <w:color w:val="2f2f2f"/>
          <w:sz w:val="18"/>
          <w:szCs w:val="18"/>
          <w:rtl w:val="0"/>
        </w:rPr>
        <w:t xml:space="preserve">de votos de los Magistrados que integran el Pleno del Tribunal Federal de Conciliación y Arbitraje, en sesión virtual de esta misma fecha.</w:t>
      </w:r>
    </w:p>
    <w:p w:rsidR="00000000" w:rsidDel="00000000" w:rsidP="00000000" w:rsidRDefault="00000000" w:rsidRPr="00000000" w14:paraId="0000005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 CERTIFICA: Que la presente copia fotostática que sella y rubrica constante de tres fojas útiles, concuerda fielmente con su original que se tuvo a la vista, relativa a la resolución de Pleno Extraordinario del Tribunal Federal de Conciliación y Arbitraje, emitida el veintisiete de julio dos mil veinte, por el que se establecen los Lineamientos para la reapertura de actividades y la aplicación del Protocolo Sanitario en las Salas y Unidades Administrativas que integran este órgano colegiado, lo que certifico con fundamento en la fracción IX del artículo 27 del Reglamento Interior del Tribunal Federal de Conciliación y Arbitraje, para los efectos legales a que haya lugar.- En la Ciudad de México, a los cinco días del mes de agosto de dos mil veinte.- El Secretario</w:t>
      </w:r>
    </w:p>
    <w:p w:rsidR="00000000" w:rsidDel="00000000" w:rsidP="00000000" w:rsidRDefault="00000000" w:rsidRPr="00000000" w14:paraId="00000051">
      <w:pPr>
        <w:shd w:fill="ffffff" w:val="clear"/>
        <w:spacing w:after="100" w:lineRule="auto"/>
        <w:jc w:val="both"/>
        <w:rPr>
          <w:color w:val="2f2f2f"/>
          <w:sz w:val="18"/>
          <w:szCs w:val="18"/>
        </w:rPr>
      </w:pPr>
      <w:r w:rsidDel="00000000" w:rsidR="00000000" w:rsidRPr="00000000">
        <w:rPr>
          <w:color w:val="2f2f2f"/>
          <w:sz w:val="18"/>
          <w:szCs w:val="18"/>
          <w:rtl w:val="0"/>
        </w:rPr>
        <w:t xml:space="preserve">General de Acuerdos, </w:t>
      </w:r>
      <w:r w:rsidDel="00000000" w:rsidR="00000000" w:rsidRPr="00000000">
        <w:rPr>
          <w:b w:val="1"/>
          <w:color w:val="2f2f2f"/>
          <w:sz w:val="18"/>
          <w:szCs w:val="18"/>
          <w:rtl w:val="0"/>
        </w:rPr>
        <w:t xml:space="preserve">Raziel Levi Segura de Iturbide</w:t>
      </w:r>
      <w:r w:rsidDel="00000000" w:rsidR="00000000" w:rsidRPr="00000000">
        <w:rPr>
          <w:color w:val="2f2f2f"/>
          <w:sz w:val="18"/>
          <w:szCs w:val="18"/>
          <w:rtl w:val="0"/>
        </w:rPr>
        <w:t xml:space="preserve">.- Rúbrica.</w:t>
      </w:r>
    </w:p>
    <w:p w:rsidR="00000000" w:rsidDel="00000000" w:rsidP="00000000" w:rsidRDefault="00000000" w:rsidRPr="00000000" w14:paraId="0000005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4">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55">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