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DC" w:rsidRDefault="001A43DC" w:rsidP="001A43D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A43DC">
        <w:rPr>
          <w:rFonts w:ascii="Verdana" w:hAnsi="Verdana"/>
          <w:b/>
          <w:bCs/>
          <w:color w:val="0070C0"/>
          <w:sz w:val="24"/>
        </w:rPr>
        <w:t>Acuerdo por el que se aprueban las adecuaciones al Estatuto Orgánico del Instituto del Fondo Nacional de la Vivien</w:t>
      </w:r>
      <w:r>
        <w:rPr>
          <w:rFonts w:ascii="Verdana" w:hAnsi="Verdana"/>
          <w:b/>
          <w:bCs/>
          <w:color w:val="0070C0"/>
          <w:sz w:val="24"/>
        </w:rPr>
        <w:t>da para los Trabajadores</w:t>
      </w:r>
    </w:p>
    <w:p w:rsidR="001A43DC" w:rsidRDefault="001A43DC" w:rsidP="001A43DC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12 de marzo de 2018)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</w:rPr>
        <w:t>Al margen un logotipo, que dice: Instituto del Fondo Nacional de la Vivienda para los Trabajadores.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ACUERDO POR EL QUE SE APRUEBAN LAS ADECUACIONES AL ESTATUTO ORGÁNICO DEL INSTITUTO DEL FONDO NACIONAL DE LA VIVIENDA PARA LOS TRABAJADORES.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Con fundamento en lo dispuesto por el artículo 10 fracción IV de la Ley del Instituto del Fondo Nacional de la Vivienda para los Trabajadores y el capítulo III, regla Octava fracción III inciso c) de las Reglas de Operación de la Asamblea General del Instituto del Fondo Nacional de la Vivienda para los Trabajadores, y</w:t>
      </w:r>
    </w:p>
    <w:p w:rsidR="001A43DC" w:rsidRPr="001A43DC" w:rsidRDefault="001A43DC" w:rsidP="001A43DC">
      <w:pPr>
        <w:jc w:val="both"/>
        <w:rPr>
          <w:rFonts w:ascii="Verdana" w:hAnsi="Verdana"/>
          <w:b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CONSIDERANDO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1.          </w:t>
      </w:r>
      <w:r w:rsidRPr="001A43DC">
        <w:rPr>
          <w:rFonts w:ascii="Verdana" w:hAnsi="Verdana"/>
          <w:bCs/>
          <w:sz w:val="20"/>
          <w:lang w:val="es-ES"/>
        </w:rPr>
        <w:t xml:space="preserve">Que las adecuaciones al Estatuto Orgánico del Instituto del Fondo Nacional de la Vivienda para los Trabajadores fueron aprobadas mediante Acuerdo número 2053 en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Ia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sesión ordinaria 115 de la Asamblea General, celebrada el día 5 de diciembre de 2017.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2.          </w:t>
      </w:r>
      <w:r w:rsidRPr="001A43DC">
        <w:rPr>
          <w:rFonts w:ascii="Verdana" w:hAnsi="Verdana"/>
          <w:bCs/>
          <w:sz w:val="20"/>
          <w:lang w:val="es-ES"/>
        </w:rPr>
        <w:t>Que con fecha 24 de enero de 2017, se publicó en el Diario Oficial de la Federación el decreto por el que se reforman y derogan diversas disposiciones de la Ley del Instituto del Fondo Nacional de la Vivienda para los Trabajadores, lo cual hace necesario adecuar diversos artículos del citado Estatuto Orgánico, a efecto de que exista concordancia con lo dispuesto por la citada Ley.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 xml:space="preserve">Atento a lo anterior, </w:t>
      </w:r>
      <w:proofErr w:type="gramStart"/>
      <w:r w:rsidRPr="001A43DC">
        <w:rPr>
          <w:rFonts w:ascii="Verdana" w:hAnsi="Verdana"/>
          <w:bCs/>
          <w:sz w:val="20"/>
          <w:lang w:val="es-ES"/>
        </w:rPr>
        <w:t>la</w:t>
      </w:r>
      <w:proofErr w:type="gramEnd"/>
      <w:r w:rsidRPr="001A43DC">
        <w:rPr>
          <w:rFonts w:ascii="Verdana" w:hAnsi="Verdana"/>
          <w:bCs/>
          <w:sz w:val="20"/>
          <w:lang w:val="es-ES"/>
        </w:rPr>
        <w:t xml:space="preserve"> H. Asamblea General del Instituto del Fondo Nacional de la Vivienda para los Trabajadores expide el siguiente: ACUERDO POR EL QUE SE APRUEBAN LAS ADECUACIONES AL ESTATUTO ORGÁNICO DEL INSTITUTO DEL FONDO NACIONAL DE LA VIVIENDA PARA LOS TRABAJADORES, para quedar como sigue:</w:t>
      </w:r>
    </w:p>
    <w:p w:rsidR="001A43DC" w:rsidRPr="001A43DC" w:rsidRDefault="001A43DC" w:rsidP="001A43DC">
      <w:pPr>
        <w:jc w:val="both"/>
        <w:rPr>
          <w:rFonts w:ascii="Verdana" w:hAnsi="Verdana"/>
          <w:b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ESTATUTO ORGÁNICO DEL INSTITUTO DEL FONDO NACIONAL DE LA VIVIENDA PARA LOS TRABAJADORES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Es el ordenamiento jurídico que establece, de manera general, las responsabilidades y funciones de la Dirección General, de las Direcciones Sectoriales y del personal directivo del Instituto del Fondo Nacional de la Vivienda para los Trabajadores (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).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Título 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Dirección General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1.</w:t>
      </w:r>
      <w:r w:rsidRPr="001A43DC">
        <w:rPr>
          <w:rFonts w:ascii="Verdana" w:hAnsi="Verdana"/>
          <w:bCs/>
          <w:sz w:val="20"/>
          <w:lang w:val="es-ES"/>
        </w:rPr>
        <w:t xml:space="preserve"> El Director General, como autoridad ejecutiva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Representar legalmente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con todas las facultades que corresponden a los mandatarios generales para pleitos y cobranzas, actos de administración y de dominio, y las especiales que requieran cláusula especial conforme a la Ley, en los términos de los tres primeros párrafos del artículo 2554 del Código Civil para el Distrito Federal. Estas facultades las ejercerá en la forma que acuerde el Consejo de Administración.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El Director General podrá delegar la representación, incluyendo la facultad expresa para conciliar ante las Juntas de Conciliación y Arbitraje, así como otorgar y revocar poderes generales o especiales.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 xml:space="preserve">El Director General podrá suscribir instrumentos jurídicos con instituciones o entidades del sector público o privado con la finalidad de cumplir con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Ejercer las facultades y atribuciones que corresponden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, en su carácter de organismo fiscal autónomo, conforme a lo señalado en los artículos 23 y 30 de la Ley del Instituto del Fondo Nacional de la Vivienda para los Trabajadores (Ley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);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         </w:t>
      </w:r>
      <w:r w:rsidRPr="001A43DC">
        <w:rPr>
          <w:rFonts w:ascii="Verdana" w:hAnsi="Verdana"/>
          <w:bCs/>
          <w:sz w:val="20"/>
          <w:lang w:val="es-ES"/>
        </w:rPr>
        <w:t>Asistir a las sesiones de la Asamblea General y del Consejo de Administración, con voz, pero sin voto;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Asistir a las sesiones de los otros Órganos Colegiados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, con voz, pero sin voto, cuando lo considere necesario para el cumplimiento de los fines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Ejecutar los acuerdos de la Asamblea General y los del Consejo de Administración;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Presentar anualmente al Consejo de Administración, dentro de los dos primeros meses del año siguiente, los estados financieros y el informe de actividades del ejercicio anterior;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Presentar al Consejo de Administración, a más tardar el último día de octubre de cada año, los presupuestos de ingresos y egresos y de gastos de administración, operación y vigilancia, el plan financiero a cinco años y sus actualizaciones, así como los programas de labores y de financiamientos para el año siguiente y, en su caso, las modificaciones necesarias a este Estatuto Orgánico;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 xml:space="preserve">      Presentar a la consideración del Consejo de Administración, un informe mensual sobre las actividades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 xml:space="preserve">        Presentar al Consejo de Administración, para su consideración y, en su caso, aprobación, los programas de crédito a que se refiere la fracción II del artículo 42 de la Ley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 xml:space="preserve">         Proponer al Consejo de Administración las estrategias y líneas generales de acción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XI.</w:t>
      </w:r>
      <w:r w:rsidRPr="001A43DC">
        <w:rPr>
          <w:rFonts w:ascii="Verdana" w:hAnsi="Verdana"/>
          <w:bCs/>
          <w:sz w:val="20"/>
          <w:lang w:val="es-ES"/>
        </w:rPr>
        <w:t xml:space="preserve">        Proponer al Consejo de Administración las políticas necesarias para la operación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XII.</w:t>
      </w:r>
      <w:r w:rsidRPr="001A43DC">
        <w:rPr>
          <w:rFonts w:ascii="Verdana" w:hAnsi="Verdana"/>
          <w:bCs/>
          <w:sz w:val="20"/>
          <w:lang w:val="es-ES"/>
        </w:rPr>
        <w:t xml:space="preserve">       Asegurar que existan los sistemas y mecanismos necesarios para el cumplimiento de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XIII.      </w:t>
      </w:r>
      <w:r w:rsidRPr="001A43DC">
        <w:rPr>
          <w:rFonts w:ascii="Verdana" w:hAnsi="Verdana"/>
          <w:bCs/>
          <w:sz w:val="20"/>
          <w:lang w:val="es-ES"/>
        </w:rPr>
        <w:t xml:space="preserve">Proponer al Consejo de Administración los nombramientos del personal directivo y de los Delegados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XIV.      </w:t>
      </w:r>
      <w:r w:rsidRPr="001A43DC">
        <w:rPr>
          <w:rFonts w:ascii="Verdana" w:hAnsi="Verdana"/>
          <w:bCs/>
          <w:sz w:val="20"/>
          <w:lang w:val="es-ES"/>
        </w:rPr>
        <w:t xml:space="preserve">Dirigir las actividades de la Administración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XV.</w:t>
      </w:r>
      <w:r w:rsidRPr="001A43DC">
        <w:rPr>
          <w:rFonts w:ascii="Verdana" w:hAnsi="Verdana"/>
          <w:bCs/>
          <w:sz w:val="20"/>
          <w:lang w:val="es-ES"/>
        </w:rPr>
        <w:t xml:space="preserve">       Nombrar y remover al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señalando sus funciones y remuneraciones, con sujeción a las leyes, presupuestos, tabuladores y, en su caso, del Contrato Colectivo de Trabajo;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XVI.</w:t>
      </w:r>
      <w:r w:rsidRPr="001A43DC">
        <w:rPr>
          <w:rFonts w:ascii="Verdana" w:hAnsi="Verdana"/>
          <w:bCs/>
          <w:sz w:val="20"/>
          <w:lang w:val="es-ES"/>
        </w:rPr>
        <w:t xml:space="preserve">      Efectuar la readscripción de las unidades administrativas y del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XVII.</w:t>
      </w:r>
      <w:r w:rsidRPr="001A43DC">
        <w:rPr>
          <w:rFonts w:ascii="Verdana" w:hAnsi="Verdana"/>
          <w:bCs/>
          <w:sz w:val="20"/>
          <w:lang w:val="es-ES"/>
        </w:rPr>
        <w:t>     Resolver los casos de duda que se presenten con motivo de la interpretación o aplicación del presente Estatuto, así como los casos no previstos en el mismo;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XVIII.</w:t>
      </w:r>
      <w:r w:rsidRPr="001A43DC">
        <w:rPr>
          <w:rFonts w:ascii="Verdana" w:hAnsi="Verdana"/>
          <w:bCs/>
          <w:sz w:val="20"/>
          <w:lang w:val="es-ES"/>
        </w:rPr>
        <w:t xml:space="preserve">    Establecer la integración de los Comités Internos con carácter temporal o permanente para el mejor cumplimiento de los fines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XIX.</w:t>
      </w:r>
      <w:r w:rsidRPr="001A43DC">
        <w:rPr>
          <w:rFonts w:ascii="Verdana" w:hAnsi="Verdana"/>
          <w:bCs/>
          <w:sz w:val="20"/>
          <w:lang w:val="es-ES"/>
        </w:rPr>
        <w:t xml:space="preserve">      Elaborar las bases para el establecimiento, organización y funcionamiento de un sistema permanente de profesionalización y desarrollo de los trabajadores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XX.</w:t>
      </w:r>
      <w:r w:rsidRPr="001A43DC">
        <w:rPr>
          <w:rFonts w:ascii="Verdana" w:hAnsi="Verdana"/>
          <w:bCs/>
          <w:sz w:val="20"/>
          <w:lang w:val="es-ES"/>
        </w:rPr>
        <w:t xml:space="preserve">       Después de ser aprobado por la Asamblea General, enviar al Congreso de la Unión, durante el mes de octubre de cada año, un informe sobre la situación financiera, patrimonial y operativa que guarda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XXI.</w:t>
      </w:r>
      <w:r w:rsidRPr="001A43DC">
        <w:rPr>
          <w:rFonts w:ascii="Verdana" w:hAnsi="Verdana"/>
          <w:bCs/>
          <w:sz w:val="20"/>
          <w:lang w:val="es-ES"/>
        </w:rPr>
        <w:t>      Alinear los esfuerzos que, para conocer las necesidades de los usuarios, realicen todas las áreas;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XXII.</w:t>
      </w:r>
      <w:r w:rsidRPr="001A43DC">
        <w:rPr>
          <w:rFonts w:ascii="Verdana" w:hAnsi="Verdana"/>
          <w:bCs/>
          <w:sz w:val="20"/>
          <w:lang w:val="es-ES"/>
        </w:rPr>
        <w:t>     Realizar evaluaciones periódicas de la operación de las Delegaciones Regionales, en el cumplimiento de los objetivos y metas institucionales;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XXIII.    </w:t>
      </w:r>
      <w:r w:rsidRPr="001A43DC">
        <w:rPr>
          <w:rFonts w:ascii="Verdana" w:hAnsi="Verdana"/>
          <w:bCs/>
          <w:sz w:val="20"/>
          <w:lang w:val="es-ES"/>
        </w:rPr>
        <w:t>Constituir a través de la figura jurídica correspondiente, centros de investigación, análisis estadísticos, agencias, comisiones especiales o cualquier otra unidad que permita llevar a cabo estudios y publicaciones relacionados con el quehacer del Instituto,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XXIV.</w:t>
      </w:r>
      <w:r w:rsidRPr="001A43DC">
        <w:rPr>
          <w:rFonts w:ascii="Verdana" w:hAnsi="Verdana"/>
          <w:bCs/>
          <w:sz w:val="20"/>
          <w:lang w:val="es-ES"/>
        </w:rPr>
        <w:t xml:space="preserve">   Las demás que le señalen la Ley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y sus disposiciones reglamentarias o que le sean encomendadas por la Asamblea General o el Consejo de Administración.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2.</w:t>
      </w:r>
      <w:r w:rsidRPr="001A43DC">
        <w:rPr>
          <w:rFonts w:ascii="Verdana" w:hAnsi="Verdana"/>
          <w:bCs/>
          <w:sz w:val="20"/>
          <w:lang w:val="es-ES"/>
        </w:rPr>
        <w:t> La Dirección General dispondrá de asesoría y del personal técnico y administrativo que requiera para la atención de los asuntos de su competencia, conforme a los presupuestos y tabuladores aprobados.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ARTÍCULO 3.</w:t>
      </w:r>
      <w:r w:rsidRPr="001A43DC">
        <w:rPr>
          <w:rFonts w:ascii="Verdana" w:hAnsi="Verdana"/>
          <w:bCs/>
          <w:sz w:val="20"/>
          <w:lang w:val="es-ES"/>
        </w:rPr>
        <w:t xml:space="preserve"> El personal directivo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serán los titulares de la Secretaría General y Jurídica, de la Contraloría General, de las Subdirecciones Generales: de Planeación y Finanzas, de Crédito, de Administración de Cartera, de Atención y Servicios, de Administración y Recursos Humanos, de Comunicación, de Tecnologías de Información, de las Coordinaciones Generales: Jurídica, de Recaudación Fiscal, de Riesgos, de Recursos Humanos, de Delegaciones, de Movilidad y del Centro de Investigación para el Desarrollo Sostenible.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4.</w:t>
      </w:r>
      <w:r w:rsidRPr="001A43DC">
        <w:rPr>
          <w:rFonts w:ascii="Verdana" w:hAnsi="Verdana"/>
          <w:bCs/>
          <w:sz w:val="20"/>
          <w:lang w:val="es-ES"/>
        </w:rPr>
        <w:t xml:space="preserve"> Con el fin de dar cumplimiento a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el Director General podrá hacer ajustes temporales a las funciones y responsabilidades del personal directivo, informando al Consejo de Administración.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5.</w:t>
      </w:r>
      <w:r w:rsidRPr="001A43DC">
        <w:rPr>
          <w:rFonts w:ascii="Verdana" w:hAnsi="Verdana"/>
          <w:bCs/>
          <w:sz w:val="20"/>
          <w:lang w:val="es-ES"/>
        </w:rPr>
        <w:t> En las ausencias temporales del Director General, ejercerá las facultades que le corresponden a éste, el Secretario General y Jurídico o alguno de los subdirectores generales que designe el propio Director General.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En las ausencias definitivas del Director General, ejercerá las facultades que le corresponden a éste, el Secretario General y Jurídico.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Título 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las Direcciones Sectoriales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6. </w:t>
      </w:r>
      <w:r w:rsidRPr="001A43DC">
        <w:rPr>
          <w:rFonts w:ascii="Verdana" w:hAnsi="Verdana"/>
          <w:bCs/>
          <w:sz w:val="20"/>
          <w:lang w:val="es-ES"/>
        </w:rPr>
        <w:t xml:space="preserve">Las Direcciones Sectoriales constituyen el enlace entre el sector que representan y el Director General; para efecto de cumplir y desarrollar la función de enlace que les otorga la Ley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los Directores Sectoriales tendrán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Asistir a las sesiones de la Asamblea General, con voz, pero sin voto;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Asistir a las sesiones del Consejo de Administración y de la Comisión de Vigilancia, con voz, pero sin voto;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Asistir a las sesiones de los otros Órganos Colegiados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, con voz, pero sin voto, cuando lo consideren necesario para el cumplimiento de los fines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relacionados con su competencia;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Solicitar la incorporación de asuntos en el orden del día de las sesiones de la Asamblea General, del Consejo de Administración y de sus Comités Auxiliares, de la Comisión de Vigilancia, del Comité de Auditoría, del Comité de Transparencia, de la Comisión de Inconformidades y de las Comisiones Consultivas Regionales, por conducto del Director General;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Coordinar el nombramiento y funcionamiento de los miembros de la Asamblea General, del Consejo de Administración y de sus Comités Auxiliares, de la Comisión de Vigilancia, del Comité de Auditoría, del Comité de Transparencia, de la Comisión de Inconformidades y de las Comisiones Consultivas Regionales, en lo referente al sector que representan;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Plantear las políticas y criterios del sector que representan al Director General, para coadyuvar a la mejor realización de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 xml:space="preserve">       Coordinar y recopilar las opiniones, sugerencias, políticas y criterios de su sector y propiciar su enlace adecuado con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Ser órgano de enlace de las organizaciones respectivas y la Dirección General, para la participación de ésta en reuniones de trabajo e informativas en materia de vivienda,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 xml:space="preserve">        En general, todas aquellas cuestiones necesarias y relativas al debido cumplimiento de los fines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relacionadas con su competencia.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7.</w:t>
      </w:r>
      <w:r w:rsidRPr="001A43DC">
        <w:rPr>
          <w:rFonts w:ascii="Verdana" w:hAnsi="Verdana"/>
          <w:bCs/>
          <w:sz w:val="20"/>
          <w:lang w:val="es-ES"/>
        </w:rPr>
        <w:t xml:space="preserve"> Las Direcciones Sectoriales dispondrán de autonomía de gestión, contratación de asesoría y del personal técnico y administrativo, conforme a los presupuestos y tabuladores aprobados para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Título III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Secretaría General y Jurídica, la Contraloría General, las Subdirecciones Generales, las Coordinaciones Generales y el Centro de Investigación para el Desarrollo Sostenible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Disposiciones Generales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8.</w:t>
      </w:r>
      <w:r w:rsidRPr="001A43DC">
        <w:rPr>
          <w:rFonts w:ascii="Verdana" w:hAnsi="Verdana"/>
          <w:bCs/>
          <w:sz w:val="20"/>
          <w:lang w:val="es-ES"/>
        </w:rPr>
        <w:t> La Dirección General conducirá las actividades de la Secretaría General y Jurídica, de la Contraloría General, de las Subdirecciones Generales, de las Coordinaciones Generales, y el Centro de Investigación para el Desarrollo Sostenible, de conformidad con este Estatuto.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Independientemente de las facultades y funciones específicas de cada una de las áreas señaladas, éstas tendrán las siguientes de carácter general, en el ámbito de su competencia: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Representar legalmente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Programar, organizar, dirigir y evaluar el desempeño de las labores de su competencia;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Elaborar, formalizar y mantener actualizada la documentación de los modelos de operación, políticas y procedimientos, responsabilidad de su área, buscando operar bajo estándares de excelencia y calidad en el servicio, basados en los lineamientos emitidos en esta materia;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Difundir y vigilar el cumplimiento de la normatividad institucional;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 xml:space="preserve">         Coordinar sus actividades con las diversas áreas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así como con instituciones públicas, privadas o sociales;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VI.</w:t>
      </w:r>
      <w:r w:rsidRPr="001A43DC">
        <w:rPr>
          <w:rFonts w:ascii="Verdana" w:hAnsi="Verdana"/>
          <w:bCs/>
          <w:sz w:val="20"/>
          <w:lang w:val="es-ES"/>
        </w:rPr>
        <w:t>        Implementar, aplicar y mantener el Sistema de Control Interno en la operación de los procesos, así como lo que corresponda a los proveedores y prestadores de servicios, en el ámbito de su competencia;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Planear, evaluar y controlar el funcionamiento de las áreas y unidades que le sean adscritas por el Director General;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Promover el desarrollo de su personal;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>        Formular y emitir opiniones e informes;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>         Certificar copias de los documentos originales que obren en sus archivos;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XI.</w:t>
      </w:r>
      <w:r w:rsidRPr="001A43DC">
        <w:rPr>
          <w:rFonts w:ascii="Verdana" w:hAnsi="Verdana"/>
          <w:bCs/>
          <w:sz w:val="20"/>
          <w:lang w:val="es-ES"/>
        </w:rPr>
        <w:t>        Conservar el catálogo de sanciones procedentes a funcionarios, empleados, proveedores y prestadores de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XII.</w:t>
      </w:r>
      <w:r w:rsidRPr="001A43DC">
        <w:rPr>
          <w:rFonts w:ascii="Verdana" w:hAnsi="Verdana"/>
          <w:bCs/>
          <w:sz w:val="20"/>
          <w:lang w:val="es-ES"/>
        </w:rPr>
        <w:t>       Ejecutar las sanciones procedentes, cuando se deban imponer a sus proveedores y prestadores de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XIII.</w:t>
      </w:r>
      <w:r w:rsidRPr="001A43DC">
        <w:rPr>
          <w:rFonts w:ascii="Verdana" w:hAnsi="Verdana"/>
          <w:bCs/>
          <w:sz w:val="20"/>
          <w:lang w:val="es-ES"/>
        </w:rPr>
        <w:t>      Ser responsables de la información generada en la operación de los procesos del área, con apego a la normativa emitida para esta materia y de los mecanismos de custodia y tenencia temporal de los expedientes de crédito requeridos en físico y en original al custodio;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XIV.</w:t>
      </w:r>
      <w:r w:rsidRPr="001A43DC">
        <w:rPr>
          <w:rFonts w:ascii="Verdana" w:hAnsi="Verdana"/>
          <w:bCs/>
          <w:sz w:val="20"/>
          <w:lang w:val="es-ES"/>
        </w:rPr>
        <w:t xml:space="preserve">      Atender las resoluciones y solicitudes de información que en la materia formule la Comisión de Inconformidades y cualquier otro órgano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XV.</w:t>
      </w:r>
      <w:r w:rsidRPr="001A43DC">
        <w:rPr>
          <w:rFonts w:ascii="Verdana" w:hAnsi="Verdana"/>
          <w:bCs/>
          <w:sz w:val="20"/>
          <w:lang w:val="es-ES"/>
        </w:rPr>
        <w:t xml:space="preserve">       Las demás que le señalen las disposiciones normativas institucionales y, en general, todas aquéllas relativas al cumplimiento de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que sean afines con las fracciones que anteceden y que les encomiende el Director General.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9.</w:t>
      </w:r>
      <w:r w:rsidRPr="001A43DC">
        <w:rPr>
          <w:rFonts w:ascii="Verdana" w:hAnsi="Verdana"/>
          <w:bCs/>
          <w:sz w:val="20"/>
          <w:lang w:val="es-ES"/>
        </w:rPr>
        <w:t> La Secretaría General y Jurídica, la Contraloría General, las Subdirecciones Generales, las Coordinaciones Generales, y el Centro de Investigación para el Desarrollo Sostenible contarán con las unidades administrativas necesarias para la realización de las funciones encomendadas en este Estatuto, cumpliendo con los presupuestos y tabuladores aprobados.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10.</w:t>
      </w:r>
      <w:r w:rsidRPr="001A43DC">
        <w:rPr>
          <w:rFonts w:ascii="Verdana" w:hAnsi="Verdana"/>
          <w:bCs/>
          <w:sz w:val="20"/>
          <w:lang w:val="es-ES"/>
        </w:rPr>
        <w:t> En las ausencias temporales del Secretario General y Jurídico, del Contralor General, de los Subdirectores Generales y los Coordinadores Generales, ejercerán las facultades y funciones que les corresponden los funcionarios que de ellos dependan, en los asuntos de su respectiva competencia.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Secretaría General y Jurídica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11.</w:t>
      </w:r>
      <w:r w:rsidRPr="001A43DC">
        <w:rPr>
          <w:rFonts w:ascii="Verdana" w:hAnsi="Verdana"/>
          <w:bCs/>
          <w:sz w:val="20"/>
          <w:lang w:val="es-ES"/>
        </w:rPr>
        <w:t xml:space="preserve"> La Secretaría General y Jurídica tendrá las siguientes facultades y funciones, respecto a los Órganos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Fungir como unidad de apoyo a los Órganos Colegiados;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II.</w:t>
      </w:r>
      <w:r w:rsidRPr="001A43DC">
        <w:rPr>
          <w:rFonts w:ascii="Verdana" w:hAnsi="Verdana"/>
          <w:bCs/>
          <w:sz w:val="20"/>
          <w:lang w:val="es-ES"/>
        </w:rPr>
        <w:t>          Tener a su cargo las Secretarías de la Asamblea General, del Consejo de Administración, de la Comisión de Vigilancia, del Comité de Auditoría y del Comité de Transparencia, así como de todos aquellos Comités, Comisiones y Subcomisiones que se deriven de éstos; y convocar a los integrantes de dichos órganos, así como, de la Comisión de Inconformidades y las Direcciones Sectoriales a sus respectivas sesiones y reuniones;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Representar legalmente a los Órganos Colegiados para efectos de rendir los informes previo y justificado que en materia de amparo les sean requeridos por la autoridad judicial, cuando algún Órgano Colegiado sea señalado como autoridad responsable o intervenir cuando alguno de éstos tenga el carácter de tercero perjudicado en los juicios de amparo;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Establecer comunicación permanente con las Direcciones Sectoriales;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Fungir como unidad de enlace entre la Dirección General y las Comisiones Consultivas Regionales;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Coordinar las funciones de la Unidad de Transparencia y de la Secretaría de la Comisión de Inconformidades, en los términos de la normatividad aplicable;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 xml:space="preserve">       Coordinar las relaciones institucionales con el Poder Legislativo Federal y de las entidades federativas, autoridades estatales y municipales e instituciones académicas, a efecto de propiciar acuerdos que deriven en el mejor cumplimiento de la labor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Dar seguimiento a las recomendaciones, resoluciones y acuerdos dictados en las sesiones de los Órganos Colegiados;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>        Controlar y conservar en documento original y formato electrónico los libros de actas y acuerdos de los Órganos Colegiados;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>         Realizar el envío, conforme a las Reglas de Operación de cada Órgano Colegiado, de la información de los asuntos que sean parte del orden del día de las sesiones de dichos Órganos de Gobierno,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XI.</w:t>
      </w:r>
      <w:r w:rsidRPr="001A43DC">
        <w:rPr>
          <w:rFonts w:ascii="Verdana" w:hAnsi="Verdana"/>
          <w:bCs/>
          <w:sz w:val="20"/>
          <w:lang w:val="es-ES"/>
        </w:rPr>
        <w:t>        Llevar conjuntamente con la Coordinación General de Delegaciones, las acciones de seguimiento y vinculación con las Delegaciones a fin de propiciar su mejor desempeño.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12.</w:t>
      </w:r>
      <w:r w:rsidRPr="001A43DC">
        <w:rPr>
          <w:rFonts w:ascii="Verdana" w:hAnsi="Verdana"/>
          <w:bCs/>
          <w:sz w:val="20"/>
          <w:lang w:val="es-ES"/>
        </w:rPr>
        <w:t xml:space="preserve"> Respecto a la representación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Intervenir con la representación que le compete en los juicios y conflictos jurídicos en los que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sea parte; esta representación podrán ejercerla el Coordinador General Jurídico, el Gerente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Senior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Consultivo, el Gerente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Senior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Contencioso, el Gerente de Servicios Legales, el Gerente Jurídico Contencioso, Civil y Mercantil y el Gerente de Denuncias, Investigaciones Especiales y Asuntos Penales,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II.</w:t>
      </w:r>
      <w:r w:rsidRPr="001A43DC">
        <w:rPr>
          <w:rFonts w:ascii="Verdana" w:hAnsi="Verdana"/>
          <w:bCs/>
          <w:sz w:val="20"/>
          <w:lang w:val="es-ES"/>
        </w:rPr>
        <w:t>          Establecer los mecanismos para la administración y control de los poderes que otorgue el Director General, así como las revocaciones de los mismos.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Coordinar las relaciones institucionales con la Comisión Nacional de los Derechos Humanos.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13.</w:t>
      </w:r>
      <w:r w:rsidRPr="001A43DC">
        <w:rPr>
          <w:rFonts w:ascii="Verdana" w:hAnsi="Verdana"/>
          <w:bCs/>
          <w:sz w:val="20"/>
          <w:lang w:val="es-ES"/>
        </w:rPr>
        <w:t xml:space="preserve"> En cuanto al Código de Ética y sus actualizaciones, la Secretaría General y Jurídica deberá establecer los mecanismos para difundirlo a los integrantes de los Órganos Colegiados, funcionarios y empleados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14.</w:t>
      </w:r>
      <w:r w:rsidRPr="001A43DC">
        <w:rPr>
          <w:rFonts w:ascii="Verdana" w:hAnsi="Verdana"/>
          <w:bCs/>
          <w:sz w:val="20"/>
          <w:lang w:val="es-ES"/>
        </w:rPr>
        <w:t> Respecto a la generación y aplicación del marco jurídico institucional,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Revisar y emitir opinión respecto de todas las disposiciones jurídicas o sus proyectos, relativos a las actividades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así como emitir opinión sobre las consultas legislativas que se le formulen;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Revisar y emitir opinión sobre la normatividad interna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         </w:t>
      </w:r>
      <w:r w:rsidRPr="001A43DC">
        <w:rPr>
          <w:rFonts w:ascii="Verdana" w:hAnsi="Verdana"/>
          <w:bCs/>
          <w:sz w:val="20"/>
          <w:lang w:val="es-ES"/>
        </w:rPr>
        <w:t>Revisar y, en su caso, autorizar los contratos de crédito y los procesos de titulación, vigilando la inscripción de las escrituras respectivas en los registros públicos de la propiedad, así como la integración de los expedientes de crédito con relación a aspectos jurídicos;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Generar, unificar y difundir criterios jurídicos para la aplicación de las normas que rigen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 xml:space="preserve">         Diseñar, con el apoyo de la Subdirección General de Administración y Recursos Humanos, la política de contratación y caución de despachos externos que en representación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intervengan en litigios en los que éste sea parte o tenga algún interés;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Autorizar la aceptación y liberación de fianzas que garanticen obligaciones ante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en los contratos y convenios que éste celebre,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Establecer medidas que conlleven a las Mejores Prácticas Institucionales en materia legal.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15.</w:t>
      </w:r>
      <w:r w:rsidRPr="001A43DC">
        <w:rPr>
          <w:rFonts w:ascii="Verdana" w:hAnsi="Verdana"/>
          <w:bCs/>
          <w:sz w:val="20"/>
          <w:lang w:val="es-ES"/>
        </w:rPr>
        <w:t> Respecto a la asesoría en materia jurídica,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           </w:t>
      </w:r>
      <w:r w:rsidRPr="001A43DC">
        <w:rPr>
          <w:rFonts w:ascii="Verdana" w:hAnsi="Verdana"/>
          <w:bCs/>
          <w:sz w:val="20"/>
          <w:lang w:val="es-ES"/>
        </w:rPr>
        <w:t>Emitir opinión legal respecto de las consultas que en materia jurídica le sean planteadas;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Gestionar ante la Subdirección General de Administración y Recursos Humanos, en el ámbito de su competencia, la contratación de asesores externos para el mejor cumplimiento de sus funciones;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Coordinar las actividades jurídicas de los abogados pertenecientes al área de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y administración del crédito y de cualquier otro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IV.        </w:t>
      </w:r>
      <w:r w:rsidRPr="001A43DC">
        <w:rPr>
          <w:rFonts w:ascii="Verdana" w:hAnsi="Verdana"/>
          <w:bCs/>
          <w:sz w:val="20"/>
          <w:lang w:val="es-ES"/>
        </w:rPr>
        <w:t>Emitir opiniones, estrategias o criterios legales respecto de asuntos que le sean sometidos a su consideración, a fin de coadyuvar en el mejor cumplimiento de los fines institucionales.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16.</w:t>
      </w:r>
      <w:r w:rsidRPr="001A43DC">
        <w:rPr>
          <w:rFonts w:ascii="Verdana" w:hAnsi="Verdana"/>
          <w:bCs/>
          <w:sz w:val="20"/>
          <w:lang w:val="es-ES"/>
        </w:rPr>
        <w:t> Respecto a las quejas, denuncias, infracciones, solicitudes y manifestaciones relacionadas con el Instituto,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Recibir, analizar y turnar quejas, infracciones, solicitudes y manifestaciones relacionadas con el Instituto a las áreas correspondientes;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Gestionar y asegurarse de la aplicación de sanciones, así como de la reparación del daño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cuando aplique;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Conocer de los recursos en materia de adquisiciones, arrendamientos y servicios, de acuerdo a la normatividad aplicable;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Proponer y dar seguimiento a la implantación de acciones oportunas para erradicar los motivos que generan las denuncias o situaciones irregulares detectadas;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         </w:t>
      </w:r>
      <w:r w:rsidRPr="001A43DC">
        <w:rPr>
          <w:rFonts w:ascii="Verdana" w:hAnsi="Verdana"/>
          <w:bCs/>
          <w:sz w:val="20"/>
          <w:lang w:val="es-ES"/>
        </w:rPr>
        <w:t>Generar información estadística y analítica de las denuncias e investigaciones y reportar periódicamente su gestión a la Dirección General y al Comité de Auditoría, al menos dos veces al año,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Diseñar y administrar el sistema de recepción de denuncias a nivel nacional, así como investigar, interponer las acciones legales correspondientes y gestionar su solución, con el propósito de salvaguardar los intereses y el patrimonio del Instituto.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Se entenderá por denuncia a la manifestación de hechos en los que se presume la existencia de irregularidades que infrinjan las disposiciones del Código de Ética y/o a la normativa institucional, cuando sean atribuidos a proveedores, prestadores de servicios o cualquier persona que tenga vinculación con el objeto del Instituto, así como aquellos tipificados como delitos o que trasgredan lo establecido en la normatividad aplicable.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17.</w:t>
      </w:r>
      <w:r w:rsidRPr="001A43DC">
        <w:rPr>
          <w:rFonts w:ascii="Verdana" w:hAnsi="Verdana"/>
          <w:bCs/>
          <w:sz w:val="20"/>
          <w:lang w:val="es-ES"/>
        </w:rPr>
        <w:t> Respecto a las investigaciones en coordinación con la Contraloría General,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           </w:t>
      </w:r>
      <w:r w:rsidRPr="001A43DC">
        <w:rPr>
          <w:rFonts w:ascii="Verdana" w:hAnsi="Verdana"/>
          <w:bCs/>
          <w:sz w:val="20"/>
          <w:lang w:val="es-ES"/>
        </w:rPr>
        <w:t>Investigar desviaciones o indicios de manejos inadecuados en las operaciones institucionales,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Promover mejoras en procesos, sistemas y normatividad que permitan evitar recurrencia de operaciones irregulares.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18.</w:t>
      </w:r>
      <w:r w:rsidRPr="001A43DC">
        <w:rPr>
          <w:rFonts w:ascii="Verdana" w:hAnsi="Verdana"/>
          <w:bCs/>
          <w:sz w:val="20"/>
          <w:lang w:val="es-ES"/>
        </w:rPr>
        <w:t xml:space="preserve"> Respecto al marco jurídico y de transparencia y acceso a la información, aplicables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deberá implantar los mecanismos necesarios para asegurar su cumplimiento y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Tener a su cargo la Secretaría del Comité de Cumplimiento Legal,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Detectar, identificar y alertar sobre los riesgos de que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incumpla con leyes, reglamentos y circulares, y divulgar las mejores prácticas.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19.</w:t>
      </w:r>
      <w:r w:rsidRPr="001A43DC">
        <w:rPr>
          <w:rFonts w:ascii="Verdana" w:hAnsi="Verdana"/>
          <w:bCs/>
          <w:sz w:val="20"/>
          <w:lang w:val="es-ES"/>
        </w:rPr>
        <w:t xml:space="preserve"> Para efectos de lo establecido en este capítulo, el Secretario General y Jurídico se auxiliará o será asistido para el trámite y resolución de los asuntos de su competencia por el Coordinador General Jurídico, y él a su vez por los Gerentes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Senior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Jurídico Consultivo y por el Jurídico Contencioso, y quienes podrán ejercer indistintamente las facultades de manera individual a que se refieren los artículos 12 a 18 de este Estatuto.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20.</w:t>
      </w:r>
      <w:r w:rsidRPr="001A43DC">
        <w:rPr>
          <w:rFonts w:ascii="Verdana" w:hAnsi="Verdana"/>
          <w:bCs/>
          <w:sz w:val="20"/>
          <w:lang w:val="es-ES"/>
        </w:rPr>
        <w:t> Para efectos de lo establecido en el artículo 11, el Secretario General y Jurídico se auxiliará o será asistido para el trámite y resolución de los asuntos de su competencia por el Prosecretario quien podrá ejercer las facultades a que se refiere este capítulo, así como la representación legal de los Órganos Colegiados.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III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Contraloría General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21.</w:t>
      </w:r>
      <w:r w:rsidRPr="001A43DC">
        <w:rPr>
          <w:rFonts w:ascii="Verdana" w:hAnsi="Verdana"/>
          <w:bCs/>
          <w:sz w:val="20"/>
          <w:lang w:val="es-ES"/>
        </w:rPr>
        <w:t> Respecto a la implantación y cumplimiento del Sistema de Control Interno,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Difundir los objetivos y lineamientos del Sistema de Control Interno al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Previa autorización de la Dirección General, proponer a la consideración del Comité de Auditoría para aprobación del Consejo de Administración, las actualizaciones a los Lineamientos Generales en materia de Control Interno que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requiera para su adecuado funcionamiento, por lo menos una vez al año;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         </w:t>
      </w:r>
      <w:r w:rsidRPr="001A43DC">
        <w:rPr>
          <w:rFonts w:ascii="Verdana" w:hAnsi="Verdana"/>
          <w:bCs/>
          <w:sz w:val="20"/>
          <w:lang w:val="es-ES"/>
        </w:rPr>
        <w:t>Verificar que los modelos, políticas y procedimientos de operación elaborados por las áreas responsables, cumplan con los aspectos y lineamientos de control interno aprobados por el Consejo de Administración y gestionar la aprobación del Comité de Auditoría en la parte relativa a políticas y procedimientos en materia de control interno, previa autorización de la Dirección General;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Diseñar y establecer programas de verificación y autocontrol sobre el cumplimiento del Sistema de Control Interno, para su aplicación en los niveles estratégico, directivo y operativo, sobre todo en los procesos con mayor exposición al riesgo y mayor impacto financiero asociado a su operación;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En el caso de desviaciones o incumplimientos a la normatividad, o por encargo expreso de algún tema en especial que le haga algún Órgano Colegiado del Instituto, investigar y, en su caso, instruir a las áreas responsables las medidas preventivas, correctivas y sanciones a que hubiere lugar, de conformidad con los ordenamientos correspondientes y asegurarse de su aplicación;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Contar con un registro permanentemente actualizado de los objetivos del Sistema de Control Interno, de los lineamientos para su implantación, así como de los </w:t>
      </w:r>
      <w:r w:rsidRPr="001A43DC">
        <w:rPr>
          <w:rFonts w:ascii="Verdana" w:hAnsi="Verdana"/>
          <w:bCs/>
          <w:sz w:val="20"/>
          <w:lang w:val="es-ES"/>
        </w:rPr>
        <w:lastRenderedPageBreak/>
        <w:t xml:space="preserve">manuales que se consideren relevantes para la operación acorde al objeto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Proveer al menos dos veces al año un reporte de su gestión, a la Dirección General y al Comité de Auditoría;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Participar en calidad de testigo en los eventos de entrega-recepción de oficinas y transmisión del conocimiento,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>        Gestionar ante la Subdirección General de Administración y Recursos Humanos, en el ámbito de su competencia, la contratación de asesores externos para el mejor cumplimiento de sus funciones.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22.</w:t>
      </w:r>
      <w:r w:rsidRPr="001A43DC">
        <w:rPr>
          <w:rFonts w:ascii="Verdana" w:hAnsi="Verdana"/>
          <w:bCs/>
          <w:sz w:val="20"/>
          <w:lang w:val="es-ES"/>
        </w:rPr>
        <w:t> Respecto al diseño, establecimiento y actualización de medidas y controles, tendrá las facultades y funciones siguientes: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Evaluar, definir, proponer y verificar los controles e indicadores relacionados a los riesgos a los que se encuentra expuesto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principalmente aquellos inherentes a la información financiera, para que ésta sea útil, íntegra, confiable y oportuna para la toma de decisiones;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Evaluar, definir, proponer y verificar los controles e indicadores relacionados a los riesgos a los que se encuentra expuesto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principalmente aquéllos operacionales y tecnológicos, detectados por las áreas responsables o que resulten de algún hallazgo derivado de verificaciones o denuncias;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Dar seguimiento a la atención de hallazgos, planes de mitigación e implantación de controles relacionados a los riesgos a los que se encuentra expuesto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principalmente aquéllos relativos a la información financiera, riesgos operacionales y tecnológicos,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Evaluar y verificar que los procesos de conciliación entre los sistemas de operación y contables sean adecuados.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23.</w:t>
      </w:r>
      <w:r w:rsidRPr="001A43DC">
        <w:rPr>
          <w:rFonts w:ascii="Verdana" w:hAnsi="Verdana"/>
          <w:bCs/>
          <w:sz w:val="20"/>
          <w:lang w:val="es-ES"/>
        </w:rPr>
        <w:t xml:space="preserve"> Respecto a las declaraciones patrimoniales de los funcionarios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deberá establecer y administrar un sistema integral de información, asegurando el resguardo de la misma, y, previa autorización del Comité de Auditoría podrá consultar los expedientes o información contenida en el sistema que administra las declaraciones patrimoniales, a fin de continuar con las investigaciones que esté llevando a cabo.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24.</w:t>
      </w:r>
      <w:r w:rsidRPr="001A43DC">
        <w:rPr>
          <w:rFonts w:ascii="Verdana" w:hAnsi="Verdana"/>
          <w:bCs/>
          <w:sz w:val="20"/>
          <w:lang w:val="es-ES"/>
        </w:rPr>
        <w:t> Respecto a la atención de infracciones, deberá llevar a cabo las acciones conducentes a fin de determinar las sanciones que en su caso correspondan, así como proponer las medidas necesarias para evitar la comisión de infracciones.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Se entenderá como infracción a la conducta atribuible a personal del Instituto que incumpla con lo previsto en el Código de Ética y/o normatividad institucional.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En lo referente a las denuncias, podrá coordinarse con la Secretaría General y Jurídica, en la investigación de las mismas.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lastRenderedPageBreak/>
        <w:t>En cuanto a las quejas, deberá vigilar su atención oportuna por parte de las áreas, así como emitir recomendaciones y proponer acciones de mejora.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Para tal efecto, las áreas que conforman el Instituto deberán presentar un informe periódico a la Contraloría General sobre la atención de las quejas.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25.</w:t>
      </w:r>
      <w:r w:rsidRPr="001A43DC">
        <w:rPr>
          <w:rFonts w:ascii="Verdana" w:hAnsi="Verdana"/>
          <w:bCs/>
          <w:sz w:val="20"/>
          <w:lang w:val="es-ES"/>
        </w:rPr>
        <w:t> Respecto al análisis de operaciones,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Investigar desviaciones o incumplimientos a la normativa institucional, así como los indicios de conductas indeseables o malas prácticas en las operaciones institucionales en las que interviene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o externos,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Promover mejoras en procesos, sistemas y normas con el fin de evitar la recurrencia de operaciones irregulares, conductas indeseables o malas prácticas.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26.</w:t>
      </w:r>
      <w:r w:rsidRPr="001A43DC">
        <w:rPr>
          <w:rFonts w:ascii="Verdana" w:hAnsi="Verdana"/>
          <w:bCs/>
          <w:sz w:val="20"/>
          <w:lang w:val="es-ES"/>
        </w:rPr>
        <w:t> Respecto al Código de Ética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Atender consultas para la aplicación del Código de Ética,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Previa autorización de la Dirección General, proponer conjuntamente con la Secretaría General y Jurídica, a la consideración de la Comisión de Vigilancia para aprobación de la Asamblea General, las actualizaciones del Código de Ética que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requiera para su adecuado funcionamiento.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IV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Subdirección General de Planeación y Finanzas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27.</w:t>
      </w:r>
      <w:r w:rsidRPr="001A43DC">
        <w:rPr>
          <w:rFonts w:ascii="Verdana" w:hAnsi="Verdana"/>
          <w:bCs/>
          <w:sz w:val="20"/>
          <w:lang w:val="es-ES"/>
        </w:rPr>
        <w:t> Respecto a la administración de recursos financieros,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Normar la operación financiera y contable, y elaborar los estados financieros;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Establecer, de manera conjunta con la Subdirección General de Administración y Recursos Humanos, los lineamientos y medidas de eficiencia y eficacia en el ejercicio del presupuesto de gastos e inversiones propias;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Formular y administrar los presupuestos globales anuales de ingresos y egresos;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Administrar los recursos financieros con que cuenta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y los depósitos puestos a su cuidado o disposición;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 xml:space="preserve">         Realizar los cálculos de los remanentes de operación de cada ejercicio para aplicar al pago de intereses de las Subcuentas de Vivienda de los derechohabientes y asegurar el rendimiento de los fondos, procurando incrementar el valor patrimonial de los mismos conforme a lo estipulado en la Ley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VI.</w:t>
      </w:r>
      <w:r w:rsidRPr="001A43DC">
        <w:rPr>
          <w:rFonts w:ascii="Verdana" w:hAnsi="Verdana"/>
          <w:bCs/>
          <w:sz w:val="20"/>
          <w:lang w:val="es-ES"/>
        </w:rPr>
        <w:t>        Invertir los recursos excedentes conforme a lo que determine el Consejo de Administración;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Normar, formular, dar seguimiento y evaluar los criterios financieros para la regeneración de la vivienda recuperada,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 xml:space="preserve">      Normar, formular, dar seguimiento y evaluar los criterios financieros para los Recursos del Fondo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revolvente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Recaudación Fiscal.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28.</w:t>
      </w:r>
      <w:r w:rsidRPr="001A43DC">
        <w:rPr>
          <w:rFonts w:ascii="Verdana" w:hAnsi="Verdana"/>
          <w:bCs/>
          <w:sz w:val="20"/>
          <w:lang w:val="es-ES"/>
        </w:rPr>
        <w:t> Respecto a la planeación y seguimiento a programas,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Diseñar y coordinar la planeación estratégica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para formular e integrar el Plan Financiero y los programas de labores y de financiamientos;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Establecer y operar los mecanismos e indicadores de evaluación de los planes y programas;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Coordinar la elaboración del Informe Anual de Actividades;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Elaborar y dar seguimiento a la planeación financiera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Desarrollar las iniciativas, alianzas, convenios y estudios internacionales, que permitan al Instituto generar el entendimiento y la implementación de las mejores prácticas globales para el cumplimiento de los objetivos institucionales,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Llevar a cabo análisis, diagnósticos y estudios económicos relacionados con su quehacer institucional.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29.</w:t>
      </w:r>
      <w:r w:rsidRPr="001A43DC">
        <w:rPr>
          <w:rFonts w:ascii="Verdana" w:hAnsi="Verdana"/>
          <w:bCs/>
          <w:sz w:val="20"/>
          <w:lang w:val="es-ES"/>
        </w:rPr>
        <w:t> Respecto al control financiero,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Vigilar la conciliación y el reflejo adecuado de las cifras e informes contables y financieros,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Dar seguimiento al cumplimiento de las disposiciones establecidas por la Comisión Nacional Bancaria y de Valores.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30.</w:t>
      </w:r>
      <w:r w:rsidRPr="001A43DC">
        <w:rPr>
          <w:rFonts w:ascii="Verdana" w:hAnsi="Verdana"/>
          <w:bCs/>
          <w:sz w:val="20"/>
          <w:lang w:val="es-ES"/>
        </w:rPr>
        <w:t> Respecto a la mejora de procesos,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Establecer y administrar los procesos, métodos y herramientas para identificar, definir, evaluar, priorizar, monitorear y gestionar integralmente las iniciativas y proyectos estratégicos institucionales;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          </w:t>
      </w:r>
      <w:r w:rsidRPr="001A43DC">
        <w:rPr>
          <w:rFonts w:ascii="Verdana" w:hAnsi="Verdana"/>
          <w:bCs/>
          <w:sz w:val="20"/>
          <w:lang w:val="es-ES"/>
        </w:rPr>
        <w:t>Evaluar el impacto de las iniciativas y proyectos estratégicos institucionales en el cumplimiento de los objetivos institucionales,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Llevar a cabo el adecuado seguimiento del desempeño financiero de las Delegaciones, así como de su cumplimiento respecto a las metas del Tablero de Gestión Estratégica, a través de las gerencias de planeación financiera que se conformen en todas las entidades.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ARTÍCULO 31.</w:t>
      </w:r>
      <w:r w:rsidRPr="001A43DC">
        <w:rPr>
          <w:rFonts w:ascii="Verdana" w:hAnsi="Verdana"/>
          <w:bCs/>
          <w:sz w:val="20"/>
          <w:lang w:val="es-ES"/>
        </w:rPr>
        <w:t> Respecto a la captación de recursos a través de fuentes alternas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Realizar estudios y análisis de los mercados financieros;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Instrumentar alternativas para incrementar los recursos que se canalizan al programa de crédito;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Asegurar la obtención de los recursos financieros provenientes de fuentes alternas,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Administrar las relaciones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con inversionistas, agencias calificadoras y participantes en el sistema financiero.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32.</w:t>
      </w:r>
      <w:r w:rsidRPr="001A43DC">
        <w:rPr>
          <w:rFonts w:ascii="Verdana" w:hAnsi="Verdana"/>
          <w:bCs/>
          <w:sz w:val="20"/>
          <w:lang w:val="es-ES"/>
        </w:rPr>
        <w:t xml:space="preserve"> Con relación a la identificación de necesidades de los usuarios, deberá incorporar los resultados de servicio de cada canal y los indicadores de satisfacción de los usuarios a los mecanismos de seguimiento, evaluación y consecuencias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33.</w:t>
      </w:r>
      <w:r w:rsidRPr="001A43DC">
        <w:rPr>
          <w:rFonts w:ascii="Verdana" w:hAnsi="Verdana"/>
          <w:bCs/>
          <w:sz w:val="20"/>
          <w:lang w:val="es-ES"/>
        </w:rPr>
        <w:t> Con relación a la administración de proyectos, deberá establecer y operar los mecanismos y herramientas para la administración y seguimiento de iniciativas y proyectos.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34.</w:t>
      </w:r>
      <w:r w:rsidRPr="001A43DC">
        <w:rPr>
          <w:rFonts w:ascii="Verdana" w:hAnsi="Verdana"/>
          <w:bCs/>
          <w:sz w:val="20"/>
          <w:lang w:val="es-ES"/>
        </w:rPr>
        <w:t> Respecto a la recaudación de los recursos, deberá administrar la base de datos de patrones y trabajadores sobre el pago de aportaciones y entero de descuentos.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35.</w:t>
      </w:r>
      <w:r w:rsidRPr="001A43DC">
        <w:rPr>
          <w:rFonts w:ascii="Verdana" w:hAnsi="Verdana"/>
          <w:bCs/>
          <w:sz w:val="20"/>
          <w:lang w:val="es-ES"/>
        </w:rPr>
        <w:t> Respecto a la fiscalización,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Ejercer las atribuciones que corresponden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en su carácter de organismo fiscal autónomo;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Dictaminar los créditos fiscales incobrables;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Gestionar ante la Subdirección General de Administración y Recursos Humanos la contratación de despachos externos que ayuden en las tareas de su competencia;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Revisar y sancionar legalmente los actos de autoridad que en materia fiscal emita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         </w:t>
      </w:r>
      <w:r w:rsidRPr="001A43DC">
        <w:rPr>
          <w:rFonts w:ascii="Verdana" w:hAnsi="Verdana"/>
          <w:bCs/>
          <w:sz w:val="20"/>
          <w:lang w:val="es-ES"/>
        </w:rPr>
        <w:t xml:space="preserve">Representar al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ante las autoridades correspondientes por los actos que realice en su carácter de organismo fiscal autónomo;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Desahogar las vistas y solicitudes de información que en la materia formule la Comisión de Inconformidades;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Participar en los concursos mercantiles para la tutela de los créditos fiscales;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 xml:space="preserve">      Resolver sobre las solicitudes y consultas que se presenten sobre el cumplimiento de obligaciones fiscales ante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IX.</w:t>
      </w:r>
      <w:r w:rsidRPr="001A43DC">
        <w:rPr>
          <w:rFonts w:ascii="Verdana" w:hAnsi="Verdana"/>
          <w:bCs/>
          <w:sz w:val="20"/>
          <w:lang w:val="es-ES"/>
        </w:rPr>
        <w:t>        Diseñar e instrumentar programas de facilidades de pago a los patrones que no están al corriente en el pago de sus obligaciones previa autorización del Consejo de Administración,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 xml:space="preserve">         Supervisar, monitorear y apoyar las actividades que realizan las gerencias de las Delegaciones que competen a su área, a fin de dar atención a empresas aportantes, así como soporte y seguimiento a la ejecución y desarrollo de los programas sustantivos de la Institución en beneficio de los derechohabientes, acreditados y empresas aportantes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36.</w:t>
      </w:r>
      <w:r w:rsidRPr="001A43DC">
        <w:rPr>
          <w:rFonts w:ascii="Verdana" w:hAnsi="Verdana"/>
          <w:bCs/>
          <w:sz w:val="20"/>
          <w:lang w:val="es-ES"/>
        </w:rPr>
        <w:t> Respecto a la administración de las aportaciones patronales al Fondo Nacional de la Vivienda,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           </w:t>
      </w:r>
      <w:r w:rsidRPr="001A43DC">
        <w:rPr>
          <w:rFonts w:ascii="Verdana" w:hAnsi="Verdana"/>
          <w:bCs/>
          <w:sz w:val="20"/>
          <w:lang w:val="es-ES"/>
        </w:rPr>
        <w:t>Administrar el Fondo de Ahorro y la Subcuenta de Vivienda de cada trabajador,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Coordinar con las autoridades reguladoras y con los participantes de los Sistemas de Ahorro para el Retiro, la elaboración, autorización y ejecución de los lineamientos y procedimientos de operación de recaudación y afectación a la Subcuenta de Vivienda de los trabajadores, siendo responsable de gestionar y determinar los límites inferiores de ingresos anuales por aportaciones y recuperaciones.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37.</w:t>
      </w:r>
      <w:r w:rsidRPr="001A43DC">
        <w:rPr>
          <w:rFonts w:ascii="Verdana" w:hAnsi="Verdana"/>
          <w:bCs/>
          <w:sz w:val="20"/>
          <w:lang w:val="es-ES"/>
        </w:rPr>
        <w:t> Una vez identificadas las necesidades de los usuarios y diseñados los productos y programas a que se refieren los artículos anteriores, deberá: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Especificar los servicios que cada uno de dichos productos genere, en cada uno de los canales propios y externos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Definir los enlaces requeridos entre sus procesos de operación y las actividades de atención en cada canal;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Definir los indicadores, niveles de servicio y procesos de gestión necesarios para garantizar la calidad del servicio prestado en cada canal;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Acordar todo lo anterior con los canales internos y crear las metas compartidas correspondientes;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Normar todo lo anterior en los canales externos de su responsabilidad;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Asegurar la implantación correcta de todos los procesos de atención en todos los canales de su responsabilidad,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       </w:t>
      </w:r>
      <w:r w:rsidRPr="001A43DC">
        <w:rPr>
          <w:rFonts w:ascii="Verdana" w:hAnsi="Verdana"/>
          <w:bCs/>
          <w:sz w:val="20"/>
          <w:lang w:val="es-ES"/>
        </w:rPr>
        <w:t>Recibir, procesar y analizar los resultados de encuestas, quejas de usuarios, reportes internos, niveles de servicio e indicadores para implantar correcciones inmediatas y soluciones permanentes.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38.</w:t>
      </w:r>
      <w:r w:rsidRPr="001A43DC">
        <w:rPr>
          <w:rFonts w:ascii="Verdana" w:hAnsi="Verdana"/>
          <w:bCs/>
          <w:sz w:val="20"/>
          <w:lang w:val="es-ES"/>
        </w:rPr>
        <w:t xml:space="preserve"> Para efectos de lo establecido en este capítulo, el Subdirector General de Planeación y Finanzas se auxiliará o será asistido para el trámite y resolución de los asuntos de su competencia por el Coordinador General de Recaudación Fiscal quien </w:t>
      </w:r>
      <w:r w:rsidRPr="001A43DC">
        <w:rPr>
          <w:rFonts w:ascii="Verdana" w:hAnsi="Verdana"/>
          <w:bCs/>
          <w:sz w:val="20"/>
          <w:lang w:val="es-ES"/>
        </w:rPr>
        <w:lastRenderedPageBreak/>
        <w:t>podrá ejercer de manera individual las facultades a que se refieren los artículos 34 a 37 de este Estatuto.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V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Subdirección General de Crédito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39.</w:t>
      </w:r>
      <w:r w:rsidRPr="001A43DC">
        <w:rPr>
          <w:rFonts w:ascii="Verdana" w:hAnsi="Verdana"/>
          <w:bCs/>
          <w:sz w:val="20"/>
          <w:lang w:val="es-ES"/>
        </w:rPr>
        <w:t xml:space="preserve"> Respecto a la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crediticia,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Desarrollar e implantar alternativas de financiamiento a soluciones de vivienda para atender las necesidades de los derechohabientes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bajo la observancia del marco jurídico aplicable y asegurando su viabilidad financiera;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Implantar los mecanismos que procuren la satisfacción al derechohabiente en la tramitación y formalización de su crédito hipotecario, bajo estándares de operación y servicio de calidad, basados en las mejores prácticas nacionales e internacionales;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Gestionar la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crédito, procurando que los responsables internos y externos cuenten con los mecanismos adecuados;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Normar la actuación de los proveedores y prestadores de servicios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en el proceso de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crédito, desarrollar y establecer mecanismos de prestación de servicios por dichos actores y promover y coordinar las redes de difusión y colocación de crédito, internas y externas;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 xml:space="preserve">         Supervisar la operación financiera de la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y administración de crédito;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Gestionar la participación de las entidades financieras en los programas crediticios conjuntos;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 xml:space="preserve">       Normar y ejecutar el proceso de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crédito,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      </w:t>
      </w:r>
      <w:r w:rsidRPr="001A43DC">
        <w:rPr>
          <w:rFonts w:ascii="Verdana" w:hAnsi="Verdana"/>
          <w:bCs/>
          <w:sz w:val="20"/>
          <w:lang w:val="es-ES"/>
        </w:rPr>
        <w:t xml:space="preserve">Supervisar, monitorear y apoyar las actividades que realizan las gerencias de las Delegaciones Regionales que competen a su área, a fin de dar atención, soporte y seguimiento a la ejecución y desarrollo de los programas sustantivos de la Institución en beneficio de los derechohabientes y acreditados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40.</w:t>
      </w:r>
      <w:r w:rsidRPr="001A43DC">
        <w:rPr>
          <w:rFonts w:ascii="Verdana" w:hAnsi="Verdana"/>
          <w:bCs/>
          <w:sz w:val="20"/>
          <w:lang w:val="es-ES"/>
        </w:rPr>
        <w:t xml:space="preserve"> Respecto a la preservación de la calidad de la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crediticia,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Controlar, verificar y monitorear las operaciones crediticias;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Verificar el cumplimiento de las reglas para el otorgamiento de crédito;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Establecer los incentivos, sanciones e indicadores para los participantes en la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crédito, con base en los lineamientos que establezca el Consejo de Administración;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Garantizar la correcta integración de los expedientes de crédito;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V.</w:t>
      </w:r>
      <w:r w:rsidRPr="001A43DC">
        <w:rPr>
          <w:rFonts w:ascii="Verdana" w:hAnsi="Verdana"/>
          <w:bCs/>
          <w:sz w:val="20"/>
          <w:lang w:val="es-ES"/>
        </w:rPr>
        <w:t>         Asegurar el correcto registro de los créditos en los sistemas,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Normar, ejecutar y administrar el proceso de avalúos.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41.</w:t>
      </w:r>
      <w:r w:rsidRPr="001A43DC">
        <w:rPr>
          <w:rFonts w:ascii="Verdana" w:hAnsi="Verdana"/>
          <w:bCs/>
          <w:sz w:val="20"/>
          <w:lang w:val="es-ES"/>
        </w:rPr>
        <w:t xml:space="preserve"> La Subdirección General de Crédito realizará las funciones de análisis, evaluación e interpretación de información, para la toma de decisiones estratégicas en el diseño de productos de financiamiento y canales de difusión, con base en las plataformas institucionales que permitan el fortalecimiento de la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42.</w:t>
      </w:r>
      <w:r w:rsidRPr="001A43DC">
        <w:rPr>
          <w:rFonts w:ascii="Verdana" w:hAnsi="Verdana"/>
          <w:bCs/>
          <w:sz w:val="20"/>
          <w:lang w:val="es-ES"/>
        </w:rPr>
        <w:t xml:space="preserve"> Respecto a la administración del proceso de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crédito, deberá dirigir, coordinar y controlar los procedimientos y actividades inherentes al mismo, incluyendo el registro de oferta, recepción y registro de solicitudes de crédito, proceso operativo del seguro de calidad, verificación de Línea IV, titulación, inscripción ante los registros públicos de propiedad e incorporación al Archivo Nacional de Expedientes de Crédito, así como todos aquellos relacionados con esta función.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43.</w:t>
      </w:r>
      <w:r w:rsidRPr="001A43DC">
        <w:rPr>
          <w:rFonts w:ascii="Verdana" w:hAnsi="Verdana"/>
          <w:bCs/>
          <w:sz w:val="20"/>
          <w:lang w:val="es-ES"/>
        </w:rPr>
        <w:t xml:space="preserve"> Respecto a la operación hipotecaria, conducir los procesos y sistemas de registro, y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originación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 créditos conforme a lo establecido en la normatividad correspondiente.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44.</w:t>
      </w:r>
      <w:r w:rsidRPr="001A43DC">
        <w:rPr>
          <w:rFonts w:ascii="Verdana" w:hAnsi="Verdana"/>
          <w:bCs/>
          <w:sz w:val="20"/>
          <w:lang w:val="es-ES"/>
        </w:rPr>
        <w:t> Con respecto a la calidad y el valor patrimonial de las viviendas y a la mejora del nivel de vida de los acreditados, deberá promover que las viviendas adquiridas por derechohabientes reúnan las mejores condiciones de calidad, ubicación y precio acorde a las necesidades de pago.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45.</w:t>
      </w:r>
      <w:r w:rsidRPr="001A43DC">
        <w:rPr>
          <w:rFonts w:ascii="Verdana" w:hAnsi="Verdana"/>
          <w:bCs/>
          <w:sz w:val="20"/>
          <w:lang w:val="es-ES"/>
        </w:rPr>
        <w:t> Una vez identificadas las necesidades de los usuarios y diseñados los productos y programas a que se refieren los artículos anteriores, deberá: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Especificar los servicios que cada uno de dichos productos genere en cada uno de los canales propios y externos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Definir los enlaces requeridos entre sus procesos de operación y las actividades de atención en cada canal;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Definir los indicadores, niveles de servicio y procesos de gestión necesarios para garantizar la calidad del servicio prestado en cada canal;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Acordar todo lo anterior con los canales internos y crear las metas compartidas correspondientes;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Normar todo lo anterior en los canales externos de su responsabilidad;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Asegurar la implantación correcta de todos los procesos de atención en todos los canales de su responsabilidad,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Recibir, procesar y analizar los resultados de encuestas, quejas de usuarios, reportes internos, niveles de servicio e indicadores para implantar correcciones inmediatas y soluciones permanentes.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VI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De la Subdirección General de Administración de Cartera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46.</w:t>
      </w:r>
      <w:r w:rsidRPr="001A43DC">
        <w:rPr>
          <w:rFonts w:ascii="Verdana" w:hAnsi="Verdana"/>
          <w:bCs/>
          <w:sz w:val="20"/>
          <w:lang w:val="es-ES"/>
        </w:rPr>
        <w:t> Respecto a la administración y recuperación del crédito,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Planear, diseñar e instrumentar estrategias para la adecuada administración del portafolio hipotecario y del cobro de éste;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Diseñar, ofrecer, instrumentar y monitorear soluciones de cobranza individuales o a la medida de las posibilidades y situación particular de cada acreditado, siempre y cuando éstas impliquen una recuperación que considere la situación real de la cartera;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Diseñar e instrumentar la cobranza social, a través de programas de facilidades de pago a los acreditados;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Establecer e instrumentar programas de abatimiento de cartera vencida y de recuperación para acreditados;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Establecer mecanismos para la recuperación extrajudicial, vía mediación o justicia alternativa e incluso judicial;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Analizar y determinar el nivel de riesgo y no pago por tipo de cartera, estableciendo las estrategias por canal, por perfil de acreditado y problemática social;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Instrumentar mecanismos de control por los diferentes esquemas de recuperación de cartera;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Emitir periódicamente estados de cuenta, impresos o de forma electrónica para el cobro de los créditos, así como información a los acreditados sobre la situación de su crédito;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>        Establecer los mecanismos de custodia y tenencia temporal de los expedientes de crédito requeridos en físico y en original al custodio;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>         Normar la liberación de los gravámenes constituidos por el otorgamiento de los créditos;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XI.</w:t>
      </w:r>
      <w:r w:rsidRPr="001A43DC">
        <w:rPr>
          <w:rFonts w:ascii="Verdana" w:hAnsi="Verdana"/>
          <w:bCs/>
          <w:sz w:val="20"/>
          <w:lang w:val="es-ES"/>
        </w:rPr>
        <w:t>        Ejecutar las acciones pertinentes o gestionar las autorizaciones requeridas para la segregación y castigo de los créditos, que por sus características, no cuenten con los elementos suficientes para gestionar un juicio hipotecario ordinario, o bien, que por su alta precariedad social resultaría inequitativa la ejecución de las garantías hipotecarias;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XII.</w:t>
      </w:r>
      <w:r w:rsidRPr="001A43DC">
        <w:rPr>
          <w:rFonts w:ascii="Verdana" w:hAnsi="Verdana"/>
          <w:bCs/>
          <w:sz w:val="20"/>
          <w:lang w:val="es-ES"/>
        </w:rPr>
        <w:t xml:space="preserve">       Supervisar, monitorear y apoyar las actividades que realizan las gerencias de las Delegaciones que competen a su área, a fin de dar atención, soporte y seguimiento a la ejecución y desarrollo de los programas sustantivos de la Institución en beneficio de los derechohabientes y acreditados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XIII.</w:t>
      </w:r>
      <w:r w:rsidRPr="001A43DC">
        <w:rPr>
          <w:rFonts w:ascii="Verdana" w:hAnsi="Verdana"/>
          <w:bCs/>
          <w:sz w:val="20"/>
          <w:lang w:val="es-ES"/>
        </w:rPr>
        <w:t>      Gestionar ante la Subdirección General de Administración y Recursos Humanos, en el ámbito de su competencia, la contratación de asesores externos y proveedores de servicios para el mejor cumplimiento de sus funciones.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47.</w:t>
      </w:r>
      <w:r w:rsidRPr="001A43DC">
        <w:rPr>
          <w:rFonts w:ascii="Verdana" w:hAnsi="Verdana"/>
          <w:bCs/>
          <w:sz w:val="20"/>
          <w:lang w:val="es-ES"/>
        </w:rPr>
        <w:t> Respecto a la Unidad de Solución Social,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           </w:t>
      </w:r>
      <w:r w:rsidRPr="001A43DC">
        <w:rPr>
          <w:rFonts w:ascii="Verdana" w:hAnsi="Verdana"/>
          <w:bCs/>
          <w:sz w:val="20"/>
          <w:lang w:val="es-ES"/>
        </w:rPr>
        <w:t>Ofrecer, instrumentar y monitorear soluciones inmobiliarias individuales o en paquete, y, de manera conjunta con la Subdirección General de Crédito, establecer los mecanismos para promover la venta de vivienda adjudicada siempre y cuando éstas impliquen una recuperación que considere la situación real de los inmuebles;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Incorporar a las soluciones inmobiliarias aquellas estrategias de rehabilitación orientadas a preservar o mejorar el entorno urbano, con base en las políticas establecidas por la Dirección General o el Consejo de Administración, y de manera conjunta con la Subdirección General de Administración y Recursos Humanos;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         </w:t>
      </w:r>
      <w:r w:rsidRPr="001A43DC">
        <w:rPr>
          <w:rFonts w:ascii="Verdana" w:hAnsi="Verdana"/>
          <w:bCs/>
          <w:sz w:val="20"/>
          <w:lang w:val="es-ES"/>
        </w:rPr>
        <w:t>Someter a la autorización del Consejo de Administración, a través del Comité de Riesgos, las propuestas de soluciones de cobranza e inmobiliarias que impliquen una recuperación inferior al valor de avalúo,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Someter, en coordinación con la Secretaría General y Jurídica, a la autorización del Consejo de Administración, a través del Comité de Riesgos, las propuestas de comodato o donaciones a favor de entidades gubernamentales, instituciones de asistencia pública o asociaciones civiles, siempre y cuando se sujeten a la condición de que dichos inmuebles serán utilizados, exclusivamente, para fines sociales que favorezcan a la comunidad en la que se ubican o sirvan para brindar seguridad, rehabilitar o mejorar el entorno habitacional.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48.</w:t>
      </w:r>
      <w:r w:rsidRPr="001A43DC">
        <w:rPr>
          <w:rFonts w:ascii="Verdana" w:hAnsi="Verdana"/>
          <w:bCs/>
          <w:sz w:val="20"/>
          <w:lang w:val="es-ES"/>
        </w:rPr>
        <w:t> Respecto de las acciones de rehabilitación, mantenimiento y atención de desastres naturales: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           </w:t>
      </w:r>
      <w:r w:rsidRPr="001A43DC">
        <w:rPr>
          <w:rFonts w:ascii="Verdana" w:hAnsi="Verdana"/>
          <w:bCs/>
          <w:sz w:val="20"/>
          <w:lang w:val="es-ES"/>
        </w:rPr>
        <w:t xml:space="preserve">Ejecutar, administrar y evaluar, de acuerdo a los procedimientos que se establezcan, el proceso de rehabilitación y mejoramiento de unidades habitacionales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a través de las acciones de coordinación con los tres órdenes de gobierno;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Fomentar, de acuerdo a los procedimientos que se establezcan, el mantenimiento de las viviendas y de la imagen urbana de los conjuntos habitacionales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Instrumentar, de acuerdo a los procedimientos que se establezcan, las acciones de rehabilitación de las viviendas con crédito vigente que sean afectadas por desastres naturales, en coordinación con la Subdirección General de Planeación y Finanzas.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49.</w:t>
      </w:r>
      <w:r w:rsidRPr="001A43DC">
        <w:rPr>
          <w:rFonts w:ascii="Verdana" w:hAnsi="Verdana"/>
          <w:bCs/>
          <w:sz w:val="20"/>
          <w:lang w:val="es-ES"/>
        </w:rPr>
        <w:t> Una vez identificadas las necesidades de los usuarios y diseñado los productos y programas a que se refieren los artículos anteriores, deberá: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Especificar los servicios que cada uno de dichos productos genere en cada uno de los canales propios y externos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Definir los enlaces requeridos entre sus procesos de operación y las actividades de atención en cada canal;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Definir los indicadores, niveles de servicio y procesos de gestión necesarios para garantizar la calidad del servicio prestado en cada canal;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Acordar todo lo anterior con los canales internos y crear las metas compartidas correspondientes;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Normar todo lo anterior en los canales externos de su responsabilidad;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Asegurar la implementación correcta de todos los procesos de atención en todos los canales de su responsabilidad,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Recibir, procesar y analizar los resultados de encuestas, quejas de usuarios, reportes internos, niveles de servicio e indicadores para implementar correcciones inmediatas y soluciones permanentes.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VII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Subdirección General de Atención y Servicios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50.</w:t>
      </w:r>
      <w:r w:rsidRPr="001A43DC">
        <w:rPr>
          <w:rFonts w:ascii="Verdana" w:hAnsi="Verdana"/>
          <w:bCs/>
          <w:sz w:val="20"/>
          <w:lang w:val="es-ES"/>
        </w:rPr>
        <w:t xml:space="preserve"> Respecto al servicio que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presta a derechohabientes, acreditados, patrones y público usuario en general, mediante los diversos canales de atención de que dispone,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Asegurar la entrega de productos y servicios con oportunidad y calidad, buscando superar las expectativas de los usuarios;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Recibir por los canales institucionales establecidos todas las quejas, denuncias, infracciones, solicitudes y manifestaciones relacionadas con el Instituto; para posteriormente remitirlas a la Secretaría General y Jurídica. Asimismo dará atención a todas las quejas en materia de servicio recibidas, a fin de que impulse y asegure la mejora de productos y servicios en las áreas responsables e informar periódicamente a la Contraloría General el estado que guardan las quejas;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Diseñar, normar y garantizar la operación de los canales;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Fomentar y facilitar el uso de los canales digitales;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Establecer mecanismos para asegurar la homogeneidad y consistencia de la información en los diversos canales, así como la calidad y disponibilidad de los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Recibir de las distintas áreas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, especificaciones de productos y servicios a implantar en los canales internos; desarrollar los procesos de atención </w:t>
      </w:r>
      <w:r w:rsidRPr="001A43DC">
        <w:rPr>
          <w:rFonts w:ascii="Verdana" w:hAnsi="Verdana"/>
          <w:bCs/>
          <w:sz w:val="20"/>
          <w:lang w:val="es-ES"/>
        </w:rPr>
        <w:lastRenderedPageBreak/>
        <w:t>requeridos y definir conjuntamente los niveles de servicio y los mecanismos de enlace entre los procesos de atención y los de operación;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Mantener permanentemente actualizado el catálogo institucional de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Desarrollar y mantener actualizado el modelo de atención en los canales;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>        Administrar la Base Única de Contactos de conformidad con la normatividad aplicable;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>         Asegurar la correcta implantación de las iniciativas de orientación que se operen en los canales internos,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XI.</w:t>
      </w:r>
      <w:r w:rsidRPr="001A43DC">
        <w:rPr>
          <w:rFonts w:ascii="Verdana" w:hAnsi="Verdana"/>
          <w:bCs/>
          <w:sz w:val="20"/>
          <w:lang w:val="es-ES"/>
        </w:rPr>
        <w:t>        Garantizar la emisión oportuna de informes y estadísticas que permitan medir la eficiencia de la operación de los canales.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51.</w:t>
      </w:r>
      <w:r w:rsidRPr="001A43DC">
        <w:rPr>
          <w:rFonts w:ascii="Verdana" w:hAnsi="Verdana"/>
          <w:bCs/>
          <w:sz w:val="20"/>
          <w:lang w:val="es-ES"/>
        </w:rPr>
        <w:t xml:space="preserve"> Respecto a la excelencia en los servicios entregados por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a través de canales propios,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Normar los criterios de calidad para entrega de servicios e implantar los mecanismos para asegurar que los derechohabientes, acreditados, patrones y público en general, reciban servicios de excelencia;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Gestionar el desarrollo de una Cultura de Excelencia en el Servicio;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Definir y establecer los mecanismos para identificar las necesidades de los usuarios y medir su satisfacción;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Gestionar la adecuación de los modelos de operación y procesos para mejorar continuamente la entrega de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Informar periódicamente sobre la calidad de los servicios entregados,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Contar con un Gerente de Servicio en cada Delegación Regional, que tendrá la responsabilidad de medir y reportar los niveles de servicio de atención a derechohabientes y acreditados en las Delegaciones y sus respectivos Centros de Servicio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(</w:t>
      </w:r>
      <w:proofErr w:type="spellStart"/>
      <w:r w:rsidRPr="001A43DC">
        <w:rPr>
          <w:rFonts w:ascii="Verdana" w:hAnsi="Verdana"/>
          <w:bCs/>
          <w:sz w:val="20"/>
          <w:lang w:val="es-ES"/>
        </w:rPr>
        <w:t>Cesis</w:t>
      </w:r>
      <w:proofErr w:type="spellEnd"/>
      <w:r w:rsidRPr="001A43DC">
        <w:rPr>
          <w:rFonts w:ascii="Verdana" w:hAnsi="Verdana"/>
          <w:bCs/>
          <w:sz w:val="20"/>
          <w:lang w:val="es-ES"/>
        </w:rPr>
        <w:t>); asimismo, emitirá las recomendaciones necesarias al Delegado para propiciar la mejora continua del servicio.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 xml:space="preserve">El Gerente de Servicio deberá de contar con todo el apoyo administrativo para la operación de los canales y el cumplimiento de las metas de servicio; éste deberá formar parte del presupuesto e infraestructura de la Delegación correspondiente. El personal de la Delegación y de los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Cesis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deberán entregar en tiempo y forma la información solicitada por el Gerente de Servicio de la Delegación y por el titular de la Subdirección General.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VIII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Subdirección General de Administración y Recursos Humanos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ARTÍCULO 52.</w:t>
      </w:r>
      <w:r w:rsidRPr="001A43DC">
        <w:rPr>
          <w:rFonts w:ascii="Verdana" w:hAnsi="Verdana"/>
          <w:bCs/>
          <w:sz w:val="20"/>
          <w:lang w:val="es-ES"/>
        </w:rPr>
        <w:t> En cuanto a la administración de recursos humanos,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Negociar y dar cumplimiento al contrato colectivo de trabajo, así como atender los conflictos laborales que surjan entre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y sus trabajadores;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Difundir y promover entre los empleados el cumplimiento del Código de Ética;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Establecer y supervisar el sistema permanente de profesionalización y desarrollo del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Administrar las compensaciones, prestaciones y programas de previsión social para el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con base en los lineamientos determinados por el Consejo de Administración, así como controlar las estructuras de organización que soportan la operación;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 xml:space="preserve">         Diseñar, desarrollar e implantar planes de formación y desarrollo para los empleados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, a los que deberán proporcionarles cursos, talleres o conferencias respecto al origen y evolución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así como la participación tripartita de los Sectores en ese proceso;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Ejecutar las sanciones procedentes, cuando se deban imponer a los funcionarios y empleados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atendiendo en todo momento a las disposiciones del Régimen de Convivencia Unificado;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Establecer lineamientos en materia de gastos de operación del capital humano, cuidando su optimización;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VIII.</w:t>
      </w:r>
      <w:r w:rsidRPr="001A43DC">
        <w:rPr>
          <w:rFonts w:ascii="Verdana" w:hAnsi="Verdana"/>
          <w:bCs/>
          <w:sz w:val="20"/>
          <w:lang w:val="es-ES"/>
        </w:rPr>
        <w:t>      Administrar los pasivos laborales, con criterios que aseguren su viabilidad en el mediano y largo plazo;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IX.</w:t>
      </w:r>
      <w:r w:rsidRPr="001A43DC">
        <w:rPr>
          <w:rFonts w:ascii="Verdana" w:hAnsi="Verdana"/>
          <w:bCs/>
          <w:sz w:val="20"/>
          <w:lang w:val="es-ES"/>
        </w:rPr>
        <w:t>        Medir el clima laboral y establecer planes de acción para mantener un buen ambiente de trabajo;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X.</w:t>
      </w:r>
      <w:r w:rsidRPr="001A43DC">
        <w:rPr>
          <w:rFonts w:ascii="Verdana" w:hAnsi="Verdana"/>
          <w:bCs/>
          <w:sz w:val="20"/>
          <w:lang w:val="es-ES"/>
        </w:rPr>
        <w:t>         Participar en calidad de testigo en los eventos de entrega-recepción de oficinas y transmisión del conocimiento,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XI.</w:t>
      </w:r>
      <w:r w:rsidRPr="001A43DC">
        <w:rPr>
          <w:rFonts w:ascii="Verdana" w:hAnsi="Verdana"/>
          <w:bCs/>
          <w:sz w:val="20"/>
          <w:lang w:val="es-ES"/>
        </w:rPr>
        <w:t>        Fomentar la aplicación de prácticas que garanticen la equidad de género, prevengan el hostigamiento sexual y promuevan la no discriminación en el acceso al empleo, el desarrollo profesional, las oportunidades de capacitación y promoción.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53.</w:t>
      </w:r>
      <w:r w:rsidRPr="001A43DC">
        <w:rPr>
          <w:rFonts w:ascii="Verdana" w:hAnsi="Verdana"/>
          <w:bCs/>
          <w:sz w:val="20"/>
          <w:lang w:val="es-ES"/>
        </w:rPr>
        <w:t xml:space="preserve"> Respecto a la situación patrimonial de los funcionarios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deberá asegurar que éstos cumplan adecuadamente con su presentación y actualización, de manera coordinada con la Contraloría General.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54.</w:t>
      </w:r>
      <w:r w:rsidRPr="001A43DC">
        <w:rPr>
          <w:rFonts w:ascii="Verdana" w:hAnsi="Verdana"/>
          <w:bCs/>
          <w:sz w:val="20"/>
          <w:lang w:val="es-ES"/>
        </w:rPr>
        <w:t> Respecto a la administración de los recursos materiales y servicios,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Administrar los bienes muebles e inmuebles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destinados a oficinas administrativas, conforme al esquema de sustentabilidad y protección civil;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Establecer los mecanismos de custodia de los expedientes de crédito y su administración, así como la forma para ser consultados y/o su entrega temporal ante requerimientos de originales por área o entidad facultada para ello, asimismo, administrar con el apoyo de la Subdirección de Tecnologías de Información, los archivos de concentración e históricos de documentos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exceptuando los expedientes de Crédito y de Recaudación Fiscal;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Normar y controlar los procesos de adquisiciones y arrendamientos de bienes y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Administrar, coordinar y supervisar los proyectos ejecutivos inmobiliarios de las oficinas administrativas;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Ejecutar y administrar los procesos para la contratación de asesores y/o despachos externos que las diferentes áreas administrativas y sustantivas requieran,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Administrar y coordinar las acciones necesarias para proporcionar los bienes y servicios requeridos por las diversas áreas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55.</w:t>
      </w:r>
      <w:r w:rsidRPr="001A43DC">
        <w:rPr>
          <w:rFonts w:ascii="Verdana" w:hAnsi="Verdana"/>
          <w:bCs/>
          <w:sz w:val="20"/>
          <w:lang w:val="es-ES"/>
        </w:rPr>
        <w:t> Respecto a la administración del presupuesto de operación,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Formular y administrar los presupuestos anuales referentes al Gasto de Administración, Operación y Vigilancia y a inversiones propias;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Administrar el sistema propio de control para el presupuesto del gasto de administración, operación y vigilancia y de inversiones propias;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Administrar y controlar los recursos destinados para gastos judiciales o extrajudiciales en la recuperación de cartera y a las acciones de fiscalización y profesionalización del personal de recaudación fiscal,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Dar el adecuado seguimiento del desempeño presupuestario del Gasto de Administración, Operación y Vigilancia y de las inversiones propias en las Delegaciones Regionales.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56.</w:t>
      </w:r>
      <w:r w:rsidRPr="001A43DC">
        <w:rPr>
          <w:rFonts w:ascii="Verdana" w:hAnsi="Verdana"/>
          <w:bCs/>
          <w:sz w:val="20"/>
          <w:lang w:val="es-ES"/>
        </w:rPr>
        <w:t> Respecto a la administración de seguros institucionales,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Formalizar el proceso de adquisición para que las Subdirecciones Generales y Coordinaciones Generales contraten los seguros, coberturas y servicios financieros en el ámbito de su competencia;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Apoyar y proporcionar asesoría a las distintas áreas que operan los contratos de servicios financieros que contrata el Instituto;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Resguardar las pólizas de seguros,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IV.</w:t>
      </w:r>
      <w:r w:rsidRPr="001A43DC">
        <w:rPr>
          <w:rFonts w:ascii="Verdana" w:hAnsi="Verdana"/>
          <w:bCs/>
          <w:sz w:val="20"/>
          <w:lang w:val="es-ES"/>
        </w:rPr>
        <w:t>        Administrar la cobertura de calidad de la vivienda y propiciar la instrumentación del seguro de calidad de la vivienda.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IX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Subdirección General de Comunicación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57.</w:t>
      </w:r>
      <w:r w:rsidRPr="001A43DC">
        <w:rPr>
          <w:rFonts w:ascii="Verdana" w:hAnsi="Verdana"/>
          <w:bCs/>
          <w:sz w:val="20"/>
          <w:lang w:val="es-ES"/>
        </w:rPr>
        <w:t> Las facultades y funciones de la Subdirección General de Comunicación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Establecer las políticas de comunicación institucional, desarrollar campañas de difusión y actuar como enlace con los medios masivos de comunicación;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Establecer y dirigir los medios para evaluar la percepción de la sociedad respecto de los servicios que proporciona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Coordinar los eventos institucionales nacionales e internacionales que sean solicitados por la Dirección General o el personal directivo,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Establecer la normatividad en materia de comunicación interna, así como validar la difusión y/o publicación que propongan las unidades administrativas en la materia.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X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Subdirección General de Tecnologías de Información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58.</w:t>
      </w:r>
      <w:r w:rsidRPr="001A43DC">
        <w:rPr>
          <w:rFonts w:ascii="Verdana" w:hAnsi="Verdana"/>
          <w:bCs/>
          <w:sz w:val="20"/>
          <w:lang w:val="es-ES"/>
        </w:rPr>
        <w:t> Respecto al desarrollo y uso de tecnologías de información,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Definir la estrategia tecnológica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Desarrollar e implantar los sistemas de informática que requiere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Administrar los activos informáticos;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Monitorear y dar soporte a la infraestructura y sistemas informáticos,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Monitorear y dar soporte a los procesos operativos.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59.</w:t>
      </w:r>
      <w:r w:rsidRPr="001A43DC">
        <w:rPr>
          <w:rFonts w:ascii="Verdana" w:hAnsi="Verdana"/>
          <w:bCs/>
          <w:sz w:val="20"/>
          <w:lang w:val="es-ES"/>
        </w:rPr>
        <w:t> Respecto a la generación y administración de la normatividad de operación,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Normar el desarrollo y formalización de modelos de operación, políticas y procedimientos requeridos para la operación de las áreas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Difundir los modelos de operación, políticas y procedimientos emitidos para la operación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y coadyuvar a su cumplimiento,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Establecer los mecanismos para la administración y publicación de la normatividad institucional.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ARTÍCULO 60.</w:t>
      </w:r>
      <w:r w:rsidRPr="001A43DC">
        <w:rPr>
          <w:rFonts w:ascii="Verdana" w:hAnsi="Verdana"/>
          <w:bCs/>
          <w:sz w:val="20"/>
          <w:lang w:val="es-ES"/>
        </w:rPr>
        <w:t> Con relación al diseño y mejora de procesos, sus facultades y funciones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Implantar y administrar el Sistema Integral de Gestión de Calidad;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Definir la arquitectura de procesos y asegurar su alineación con la estrategia institucional;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Establecer y administrar los métodos para asegurar la consistencia operativa, la medición del desempeño y la calidad en el servicio;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>        Establecer y administrar métodos para asegurar la consistencia de los elementos operativos al implantar nuevos productos y servicios;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</w:t>
      </w:r>
      <w:r w:rsidRPr="001A43DC">
        <w:rPr>
          <w:rFonts w:ascii="Verdana" w:hAnsi="Verdana"/>
          <w:bCs/>
          <w:sz w:val="20"/>
          <w:lang w:val="es-ES"/>
        </w:rPr>
        <w:t>         Administrar el portafolio de procesos;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>        Impulsar la adopción de roles y responsabilidades que permitan evolucionar constantemente en materia de administración de procesos,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</w:t>
      </w:r>
      <w:r w:rsidRPr="001A43DC">
        <w:rPr>
          <w:rFonts w:ascii="Verdana" w:hAnsi="Verdana"/>
          <w:bCs/>
          <w:sz w:val="20"/>
          <w:lang w:val="es-ES"/>
        </w:rPr>
        <w:t>       Establecer los mecanismos para determinar las cargas de trabajo a partir de la arquitectura de procesos.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61.</w:t>
      </w:r>
      <w:r w:rsidRPr="001A43DC">
        <w:rPr>
          <w:rFonts w:ascii="Verdana" w:hAnsi="Verdana"/>
          <w:bCs/>
          <w:sz w:val="20"/>
          <w:lang w:val="es-ES"/>
        </w:rPr>
        <w:t xml:space="preserve"> En cuanto a la gestión de la seguridad de la información, deberá definir, establecer, mantener y monitorear una estrategia de seguridad de la información alineada a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XI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Coordinación General de Riesgos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62.</w:t>
      </w:r>
      <w:r w:rsidRPr="001A43DC">
        <w:rPr>
          <w:rFonts w:ascii="Verdana" w:hAnsi="Verdana"/>
          <w:bCs/>
          <w:sz w:val="20"/>
          <w:lang w:val="es-ES"/>
        </w:rPr>
        <w:t> La Coordinación General de Riesgos tendrá las siguientes facultades y funciones: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 Establecer y difundir la normatividad operativa de administración de riesgos al personal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 xml:space="preserve">          Proponer para aprobación del Consejo de Administración, a través del Comité de Riesgos, la normatividad, metodologías, modelos, límites y parámetros para la administración de riesgos que 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requiera para su adecuado funcionamiento, así como sus actualizaciones anuales;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Definir la estrategia y coordinar las actividades de la Institución en términos de la identificación, medición y administración del Riesgo Operativo, Legal, Tecnológico, de Mercado, de Crédito, de Contraparte y de Liquidez, en apego a la normatividad aplicable;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</w:t>
      </w:r>
      <w:r w:rsidRPr="001A43DC">
        <w:rPr>
          <w:rFonts w:ascii="Verdana" w:hAnsi="Verdana"/>
          <w:bCs/>
          <w:sz w:val="20"/>
          <w:lang w:val="es-ES"/>
        </w:rPr>
        <w:t xml:space="preserve">        Asegurar que en las áreas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se implementen los indicadores estratégicos de riesgos, que fueron identificados y aprobados por la Subdirección responsable;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lastRenderedPageBreak/>
        <w:t>V.</w:t>
      </w:r>
      <w:r w:rsidRPr="001A43DC">
        <w:rPr>
          <w:rFonts w:ascii="Verdana" w:hAnsi="Verdana"/>
          <w:bCs/>
          <w:sz w:val="20"/>
          <w:lang w:val="es-ES"/>
        </w:rPr>
        <w:t xml:space="preserve">         Informar periódicamente al Consejo de Administración, a través del Comité de Riesgos, la situación de las exposiciones de riesgo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</w:t>
      </w:r>
      <w:r w:rsidRPr="001A43DC">
        <w:rPr>
          <w:rFonts w:ascii="Verdana" w:hAnsi="Verdana"/>
          <w:bCs/>
          <w:sz w:val="20"/>
          <w:lang w:val="es-ES"/>
        </w:rPr>
        <w:t xml:space="preserve">        Evaluar los riesgos y emitir opinión sobre los nuevos productos que son propuestos por las áreas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63.</w:t>
      </w:r>
      <w:r w:rsidRPr="001A43DC">
        <w:rPr>
          <w:rFonts w:ascii="Verdana" w:hAnsi="Verdana"/>
          <w:bCs/>
          <w:sz w:val="20"/>
          <w:lang w:val="es-ES"/>
        </w:rPr>
        <w:t> Con relación al cálculo de reservas y al cómputo del Índice de Capitalización deberá realizar dichos cálculos en apego a la normativa aplicable y reportar los resultados de manera periódica.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64.</w:t>
      </w:r>
      <w:r w:rsidRPr="001A43DC">
        <w:rPr>
          <w:rFonts w:ascii="Verdana" w:hAnsi="Verdana"/>
          <w:bCs/>
          <w:sz w:val="20"/>
          <w:lang w:val="es-ES"/>
        </w:rPr>
        <w:t> Respecto al riesgo operativo y tecnológico deberá identificar y documentar los riesgos implícitos a los procesos de la Institución, así como establecer los Niveles de Tolerancia al Riesgo para cada tipo de riesgo identificado.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65.</w:t>
      </w:r>
      <w:r w:rsidRPr="001A43DC">
        <w:rPr>
          <w:rFonts w:ascii="Verdana" w:hAnsi="Verdana"/>
          <w:bCs/>
          <w:sz w:val="20"/>
          <w:lang w:val="es-ES"/>
        </w:rPr>
        <w:t> Utilizar las plataformas institucionales para calibrar los parámetros de los modelos de cálculo de los riesgos del Instituto.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XII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Coordinación General de Delegaciones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66.</w:t>
      </w:r>
      <w:r w:rsidRPr="001A43DC">
        <w:rPr>
          <w:rFonts w:ascii="Verdana" w:hAnsi="Verdana"/>
          <w:bCs/>
          <w:sz w:val="20"/>
          <w:lang w:val="es-ES"/>
        </w:rPr>
        <w:t> Las facultades y funciones de la Coordinación General de Delegaciones son: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</w:t>
      </w:r>
      <w:r w:rsidRPr="001A43DC">
        <w:rPr>
          <w:rFonts w:ascii="Verdana" w:hAnsi="Verdana"/>
          <w:bCs/>
          <w:sz w:val="20"/>
          <w:lang w:val="es-ES"/>
        </w:rPr>
        <w:t>           Apoyar a la Dirección General como enlace entre las Delegaciones y la Dirección General,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</w:t>
      </w:r>
      <w:r w:rsidRPr="001A43DC">
        <w:rPr>
          <w:rFonts w:ascii="Verdana" w:hAnsi="Verdana"/>
          <w:bCs/>
          <w:sz w:val="20"/>
          <w:lang w:val="es-ES"/>
        </w:rPr>
        <w:t>          Supervisar e integrar las actividades de las Delegaciones con el objetivo de llevar a cabo las tareas compartidas que se juzgue conveniente, e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</w:t>
      </w:r>
      <w:r w:rsidRPr="001A43DC">
        <w:rPr>
          <w:rFonts w:ascii="Verdana" w:hAnsi="Verdana"/>
          <w:bCs/>
          <w:sz w:val="20"/>
          <w:lang w:val="es-ES"/>
        </w:rPr>
        <w:t>         Impulsar acciones al nivel local de las Delegaciones, que contribuyan al logro de los objetivos institucionales.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67.</w:t>
      </w:r>
      <w:r w:rsidRPr="001A43DC">
        <w:rPr>
          <w:rFonts w:ascii="Verdana" w:hAnsi="Verdana"/>
          <w:bCs/>
          <w:sz w:val="20"/>
          <w:lang w:val="es-ES"/>
        </w:rPr>
        <w:t xml:space="preserve"> Las Delegaciones son unidades administrativas con facultades delegadas por la Dirección General, las cuales se ejercerán en representación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en la circunscripción territorial que se les asigne.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68.</w:t>
      </w:r>
      <w:r w:rsidRPr="001A43DC">
        <w:rPr>
          <w:rFonts w:ascii="Verdana" w:hAnsi="Verdana"/>
          <w:bCs/>
          <w:sz w:val="20"/>
          <w:lang w:val="es-ES"/>
        </w:rPr>
        <w:t xml:space="preserve"> Para el mejor cumplimiento de los objetivos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las funciones operativas se desconcentrarán a las Delegaciones, conforme a lo establecido en los Lineamientos de Operación de las Delegaciones Regionales.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69.</w:t>
      </w:r>
      <w:r w:rsidRPr="001A43DC">
        <w:rPr>
          <w:rFonts w:ascii="Verdana" w:hAnsi="Verdana"/>
          <w:bCs/>
          <w:sz w:val="20"/>
          <w:lang w:val="es-ES"/>
        </w:rPr>
        <w:t> Las Delegaciones se apoyarán en las Comisiones Consultivas Regionales para impulsar acciones locales que contribuyan al logro de los objetivos institucionales.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XIII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Del Centro de Investigación para el Desarrollo Sostenible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70.</w:t>
      </w:r>
      <w:r w:rsidRPr="001A43DC">
        <w:rPr>
          <w:rFonts w:ascii="Verdana" w:hAnsi="Verdana"/>
          <w:bCs/>
          <w:sz w:val="20"/>
          <w:lang w:val="es-ES"/>
        </w:rPr>
        <w:t> El Centro de Investigación para el Desarrollo Sostenible </w:t>
      </w:r>
      <w:r w:rsidRPr="001A43DC">
        <w:rPr>
          <w:rFonts w:ascii="Verdana" w:hAnsi="Verdana"/>
          <w:bCs/>
          <w:sz w:val="20"/>
          <w:lang w:val="es-ES_tradnl"/>
        </w:rPr>
        <w:t xml:space="preserve">respecto al mejoramiento de la calidad y el valor patrimonial de las viviendas, y del nivel de vida </w:t>
      </w:r>
      <w:r w:rsidRPr="001A43DC">
        <w:rPr>
          <w:rFonts w:ascii="Verdana" w:hAnsi="Verdana"/>
          <w:bCs/>
          <w:sz w:val="20"/>
          <w:lang w:val="es-ES_tradnl"/>
        </w:rPr>
        <w:lastRenderedPageBreak/>
        <w:t>de los habitantes de viviendas financiadas por el INFONAVIT</w:t>
      </w:r>
      <w:r w:rsidRPr="001A43DC">
        <w:rPr>
          <w:rFonts w:ascii="Verdana" w:hAnsi="Verdana"/>
          <w:bCs/>
          <w:sz w:val="20"/>
          <w:lang w:val="es-ES"/>
        </w:rPr>
        <w:t>, tendrá las facultades y funciones siguientes: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I.</w:t>
      </w:r>
      <w:r w:rsidRPr="001A43DC">
        <w:rPr>
          <w:rFonts w:ascii="Verdana" w:hAnsi="Verdana"/>
          <w:bCs/>
          <w:sz w:val="20"/>
          <w:lang w:val="es-ES_tradnl"/>
        </w:rPr>
        <w:t>           Proponer iniciativas para que las viviendas adquiridas por derechohabientes reúnan las mejores condiciones de calidad, ubicación y precio, acordes a sus necesidades y capacidad de pago;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II.</w:t>
      </w:r>
      <w:r w:rsidRPr="001A43DC">
        <w:rPr>
          <w:rFonts w:ascii="Verdana" w:hAnsi="Verdana"/>
          <w:bCs/>
          <w:sz w:val="20"/>
          <w:lang w:val="es-ES_tradnl"/>
        </w:rPr>
        <w:t>          Proponer esquemas, entre las autoridades de los tres ámbitos de gobierno, que resulten en desarrollos habitacionales ordenados y sostenibles, infraestructura y servicios suficientes, cuidado del medio ambiente y de la calidad de las viviendas, para que éstos se traduzcan en una mejor calidad de vida para los derechohabientes;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III.</w:t>
      </w:r>
      <w:r w:rsidRPr="001A43DC">
        <w:rPr>
          <w:rFonts w:ascii="Verdana" w:hAnsi="Verdana"/>
          <w:bCs/>
          <w:sz w:val="20"/>
          <w:lang w:val="es-ES_tradnl"/>
        </w:rPr>
        <w:t>         Proponer e impulsar la creación de mecanismos para incrementar el valor patrimonial de la vivienda de los trabajadores;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IV.</w:t>
      </w:r>
      <w:r w:rsidRPr="001A43DC">
        <w:rPr>
          <w:rFonts w:ascii="Verdana" w:hAnsi="Verdana"/>
          <w:bCs/>
          <w:sz w:val="20"/>
          <w:lang w:val="es-ES_tradnl"/>
        </w:rPr>
        <w:t xml:space="preserve">        Proponer estrategias de </w:t>
      </w:r>
      <w:proofErr w:type="spellStart"/>
      <w:r w:rsidRPr="001A43DC">
        <w:rPr>
          <w:rFonts w:ascii="Verdana" w:hAnsi="Verdana"/>
          <w:bCs/>
          <w:sz w:val="20"/>
          <w:lang w:val="es-ES_tradnl"/>
        </w:rPr>
        <w:t>redensificación</w:t>
      </w:r>
      <w:proofErr w:type="spellEnd"/>
      <w:r w:rsidRPr="001A43DC">
        <w:rPr>
          <w:rFonts w:ascii="Verdana" w:hAnsi="Verdana"/>
          <w:bCs/>
          <w:sz w:val="20"/>
          <w:lang w:val="es-ES_tradnl"/>
        </w:rPr>
        <w:t xml:space="preserve"> inteligente para combatir el problema de la vivienda recuperada y abandonada, coadyuvando a las políticas públicas nacionales de ordenamiento territorial;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V.</w:t>
      </w:r>
      <w:r w:rsidRPr="001A43DC">
        <w:rPr>
          <w:rFonts w:ascii="Verdana" w:hAnsi="Verdana"/>
          <w:bCs/>
          <w:sz w:val="20"/>
          <w:lang w:val="es-ES_tradnl"/>
        </w:rPr>
        <w:t>         Proponer esquemas para asegurar el buen mantenimiento de los conjuntos habitacionales,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VI.</w:t>
      </w:r>
      <w:r w:rsidRPr="001A43DC">
        <w:rPr>
          <w:rFonts w:ascii="Verdana" w:hAnsi="Verdana"/>
          <w:bCs/>
          <w:sz w:val="20"/>
          <w:lang w:val="es-ES_tradnl"/>
        </w:rPr>
        <w:t>        Recomendar iniciativas para la construcción de vivienda que cumpla con criterios de sostenibilidad y de accesibilidad universal.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71.</w:t>
      </w:r>
      <w:r w:rsidRPr="001A43DC">
        <w:rPr>
          <w:rFonts w:ascii="Verdana" w:hAnsi="Verdana"/>
          <w:bCs/>
          <w:sz w:val="20"/>
          <w:lang w:val="es-ES"/>
        </w:rPr>
        <w:t> Respecto a la </w:t>
      </w:r>
      <w:r w:rsidRPr="001A43DC">
        <w:rPr>
          <w:rFonts w:ascii="Verdana" w:hAnsi="Verdana"/>
          <w:bCs/>
          <w:sz w:val="20"/>
          <w:lang w:val="es-ES_tradnl"/>
        </w:rPr>
        <w:t>Investigación Aplicada y Divulgación de métodos, procesos, estrategias y tecnologías que faciliten la sostenibilidad social, ambiental y tecnológica.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I.</w:t>
      </w:r>
      <w:r w:rsidRPr="001A43DC">
        <w:rPr>
          <w:rFonts w:ascii="Verdana" w:hAnsi="Verdana"/>
          <w:bCs/>
          <w:sz w:val="20"/>
          <w:lang w:val="es-ES_tradnl"/>
        </w:rPr>
        <w:t>           Proponer estrategias que permitan fortalecer la cultura del valor patrimonial entre los miembros del Sector Vivienda;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II.</w:t>
      </w:r>
      <w:r w:rsidRPr="001A43DC">
        <w:rPr>
          <w:rFonts w:ascii="Verdana" w:hAnsi="Verdana"/>
          <w:bCs/>
          <w:sz w:val="20"/>
          <w:lang w:val="es-ES_tradnl"/>
        </w:rPr>
        <w:t>          Proponer indicadores y mecanismos de monitoreo como herramienta de orientación y referencia sobre la calidad de las viviendas, del conjunto habitacional y del entorno urbano, que satisfaga los requerimientos de los diferentes usuarios de la información y sean utilizados con carácter informativo;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III.</w:t>
      </w:r>
      <w:r w:rsidRPr="001A43DC">
        <w:rPr>
          <w:rFonts w:ascii="Verdana" w:hAnsi="Verdana"/>
          <w:bCs/>
          <w:sz w:val="20"/>
          <w:lang w:val="es-ES_tradnl"/>
        </w:rPr>
        <w:t>         Realizar investigaciones sobre la calidad del proceso constructivo de la vivienda que financia el INFONAVIT, para generar propuestas de mejora en beneficio de los derechohabientes, a ser implementadas por las diversas áreas del Instituto;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IV.</w:t>
      </w:r>
      <w:r w:rsidRPr="001A43DC">
        <w:rPr>
          <w:rFonts w:ascii="Verdana" w:hAnsi="Verdana"/>
          <w:bCs/>
          <w:sz w:val="20"/>
          <w:lang w:val="es-ES_tradnl"/>
        </w:rPr>
        <w:t>        Impulsar mediante métodos, procesos, estrategias y tecnologías las políticas públicas sociales, ambientales, de vivienda y desarrollo urbano;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V.         </w:t>
      </w:r>
      <w:r w:rsidRPr="001A43DC">
        <w:rPr>
          <w:rFonts w:ascii="Verdana" w:hAnsi="Verdana"/>
          <w:bCs/>
          <w:sz w:val="20"/>
          <w:lang w:val="es-ES_tradnl"/>
        </w:rPr>
        <w:t>Investigar y aplicar estándares en desarrollos habitacionales con contenido cívico, social y ecológico que tengan por objeto incrementar la calidad de vida de los derechohabientes;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VI.        </w:t>
      </w:r>
      <w:r w:rsidRPr="001A43DC">
        <w:rPr>
          <w:rFonts w:ascii="Verdana" w:hAnsi="Verdana"/>
          <w:bCs/>
          <w:sz w:val="20"/>
          <w:lang w:val="es-ES_tradnl"/>
        </w:rPr>
        <w:t>Investigar y proponer tecnologías que mejoren la calidad de vida de los trabajadores y la calidad de la vivienda;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lastRenderedPageBreak/>
        <w:t>VII.</w:t>
      </w:r>
      <w:r w:rsidRPr="001A43DC">
        <w:rPr>
          <w:rFonts w:ascii="Verdana" w:hAnsi="Verdana"/>
          <w:bCs/>
          <w:sz w:val="20"/>
          <w:lang w:val="es-ES_tradnl"/>
        </w:rPr>
        <w:t>       Con respecto a los indicadores que en materia de sostenibilidad se desarrollen, mantener la actualización y promover su difusión entre los derechohabientes y participantes interesados de la industria.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72.</w:t>
      </w:r>
      <w:r w:rsidRPr="001A43DC">
        <w:rPr>
          <w:rFonts w:ascii="Verdana" w:hAnsi="Verdana"/>
          <w:bCs/>
          <w:sz w:val="20"/>
          <w:lang w:val="es-ES"/>
        </w:rPr>
        <w:t> Respecto a la </w:t>
      </w:r>
      <w:r w:rsidRPr="001A43DC">
        <w:rPr>
          <w:rFonts w:ascii="Verdana" w:hAnsi="Verdana"/>
          <w:bCs/>
          <w:sz w:val="20"/>
          <w:lang w:val="es-ES_tradnl"/>
        </w:rPr>
        <w:t>colaboración interinstitucional para el desarrollo de estrategias de mejoramiento de la calidad de vida de los trabajadores y la sostenibilidad de su hábitat y su patrimonio habitacional.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I.</w:t>
      </w:r>
      <w:r w:rsidRPr="001A43DC">
        <w:rPr>
          <w:rFonts w:ascii="Verdana" w:hAnsi="Verdana"/>
          <w:bCs/>
          <w:sz w:val="20"/>
          <w:lang w:val="es-ES_tradnl"/>
        </w:rPr>
        <w:t>           Establecer y fortalecer relaciones eficaces con los distintos actores que intervienen en el desarrollo de vivienda, y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II.</w:t>
      </w:r>
      <w:r w:rsidRPr="001A43DC">
        <w:rPr>
          <w:rFonts w:ascii="Verdana" w:hAnsi="Verdana"/>
          <w:bCs/>
          <w:sz w:val="20"/>
          <w:lang w:val="es-ES_tradnl"/>
        </w:rPr>
        <w:t>          Colaborar y fomentar la creación de grupos y redes con instituciones académicas y sociales en materia de sostenibilidad de los centros urbanos.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Capítulo XIV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De la Coordinación General de Movilidad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ARTÍCULO 73. </w:t>
      </w:r>
      <w:r w:rsidRPr="001A43DC">
        <w:rPr>
          <w:rFonts w:ascii="Verdana" w:hAnsi="Verdana"/>
          <w:bCs/>
          <w:sz w:val="20"/>
          <w:lang w:val="es-ES"/>
        </w:rPr>
        <w:t>La Coordinación General de Movilidad tendrá las facultades y funciones siguientes: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I.           </w:t>
      </w:r>
      <w:r w:rsidRPr="001A43DC">
        <w:rPr>
          <w:rFonts w:ascii="Verdana" w:hAnsi="Verdana"/>
          <w:bCs/>
          <w:sz w:val="20"/>
          <w:lang w:val="es-ES"/>
        </w:rPr>
        <w:t>Coordinar la planeación y puesta en marcha de los procesos de movilidad, así como el diseño conceptual de sus políticas y procedimientos.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II.          </w:t>
      </w:r>
      <w:r w:rsidRPr="001A43DC">
        <w:rPr>
          <w:rFonts w:ascii="Verdana" w:hAnsi="Verdana"/>
          <w:bCs/>
          <w:sz w:val="20"/>
          <w:lang w:val="es-ES"/>
        </w:rPr>
        <w:t>Facilitar que los acreditados tengan acceso a diversas opciones acordes con sus necesidades de ubicación y espacio.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III.         </w:t>
      </w:r>
      <w:r w:rsidRPr="001A43DC">
        <w:rPr>
          <w:rFonts w:ascii="Verdana" w:hAnsi="Verdana"/>
          <w:bCs/>
          <w:sz w:val="20"/>
          <w:lang w:val="es-ES"/>
        </w:rPr>
        <w:t>Coordinar la operación del sistema de análisis de datos de la demanda para facilitar la comunicación entre los derechohabientes y el Instituto, y la adecuada atención a las necesidades habitacionales de los derechohabientes.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IV.        </w:t>
      </w:r>
      <w:r w:rsidRPr="001A43DC">
        <w:rPr>
          <w:rFonts w:ascii="Verdana" w:hAnsi="Verdana"/>
          <w:bCs/>
          <w:sz w:val="20"/>
          <w:lang w:val="es-ES"/>
        </w:rPr>
        <w:t>Coordinar la operación de la plataforma tecnológica de oferta inmobiliaria disponible para su fácil consulta por los derechohabientes que lo requieran.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V.         </w:t>
      </w:r>
      <w:r w:rsidRPr="001A43DC">
        <w:rPr>
          <w:rFonts w:ascii="Verdana" w:hAnsi="Verdana"/>
          <w:bCs/>
          <w:sz w:val="20"/>
          <w:lang w:val="es-ES"/>
        </w:rPr>
        <w:t>Coordinar la operación de un sistema de asistencia mediante Asesores de Movilidad para que el derechohabiente cuente con mayor información para la toma de decisiones relativas a su solución habitacional.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VI.        </w:t>
      </w:r>
      <w:r w:rsidRPr="001A43DC">
        <w:rPr>
          <w:rFonts w:ascii="Verdana" w:hAnsi="Verdana"/>
          <w:bCs/>
          <w:sz w:val="20"/>
          <w:lang w:val="es-ES"/>
        </w:rPr>
        <w:t>Desarrollar presupuestos y proyecciones de colocación de productos del Instituto vía los procesos de Movilidad.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VII.       </w:t>
      </w:r>
      <w:r w:rsidRPr="001A43DC">
        <w:rPr>
          <w:rFonts w:ascii="Verdana" w:hAnsi="Verdana"/>
          <w:bCs/>
          <w:sz w:val="20"/>
          <w:lang w:val="es-ES"/>
        </w:rPr>
        <w:t>Las demás que le señalen las disposiciones normativas institucionales y, en general todas aquellas relativas al cumplimiento de los objetivos del INFONAVIT, que sean afines con las fracciones que anteceden y que le encomiende el Director General.</w:t>
      </w:r>
    </w:p>
    <w:p w:rsidR="001A43DC" w:rsidRPr="001A43DC" w:rsidRDefault="001A43DC" w:rsidP="001A43DC">
      <w:pPr>
        <w:jc w:val="both"/>
        <w:rPr>
          <w:rFonts w:ascii="Verdana" w:hAnsi="Verdana"/>
          <w:b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_tradnl"/>
        </w:rPr>
        <w:t>TRANSITORIOS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PRIMERO.-</w:t>
      </w:r>
      <w:r w:rsidRPr="001A43DC">
        <w:rPr>
          <w:rFonts w:ascii="Verdana" w:hAnsi="Verdana"/>
          <w:bCs/>
          <w:sz w:val="20"/>
          <w:lang w:val="es-ES"/>
        </w:rPr>
        <w:t xml:space="preserve"> El presente Estatuto Orgánico modifica las adecuaciones aprobadas mediante Acuerdos número 1952 y 2001 en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Ias</w:t>
      </w:r>
      <w:proofErr w:type="spellEnd"/>
      <w:r w:rsidRPr="001A43DC">
        <w:rPr>
          <w:rFonts w:ascii="Verdana" w:hAnsi="Verdana"/>
          <w:bCs/>
          <w:sz w:val="20"/>
          <w:lang w:val="es-ES"/>
        </w:rPr>
        <w:t xml:space="preserve"> sesiones ordinarias 113 y 114 de la </w:t>
      </w:r>
      <w:r w:rsidRPr="001A43DC">
        <w:rPr>
          <w:rFonts w:ascii="Verdana" w:hAnsi="Verdana"/>
          <w:bCs/>
          <w:sz w:val="20"/>
          <w:lang w:val="es-ES"/>
        </w:rPr>
        <w:lastRenderedPageBreak/>
        <w:t>Asamblea General, celebradas los días 9 de diciembre de 2016 y 28 de abril de 2017 respectivamente.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SEGUNDO.-</w:t>
      </w:r>
      <w:r w:rsidRPr="001A43DC">
        <w:rPr>
          <w:rFonts w:ascii="Verdana" w:hAnsi="Verdana"/>
          <w:bCs/>
          <w:sz w:val="20"/>
          <w:lang w:val="es-ES"/>
        </w:rPr>
        <w:t xml:space="preserve"> Las Modificaciones de este Estatuto Orgánico entrarán en vigor a partir de su aprobación en la sesión ordinaria número 115 de la Asamblea General del </w:t>
      </w:r>
      <w:proofErr w:type="spellStart"/>
      <w:r w:rsidRPr="001A43DC">
        <w:rPr>
          <w:rFonts w:ascii="Verdana" w:hAnsi="Verdana"/>
          <w:bCs/>
          <w:sz w:val="20"/>
          <w:lang w:val="es-ES"/>
        </w:rPr>
        <w:t>Infonavit</w:t>
      </w:r>
      <w:proofErr w:type="spellEnd"/>
      <w:r w:rsidRPr="001A43DC">
        <w:rPr>
          <w:rFonts w:ascii="Verdana" w:hAnsi="Verdana"/>
          <w:bCs/>
          <w:sz w:val="20"/>
          <w:lang w:val="es-ES"/>
        </w:rPr>
        <w:t>, celebrada el día 5 de diciembre de 2017.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/>
          <w:bCs/>
          <w:sz w:val="20"/>
          <w:lang w:val="es-ES"/>
        </w:rPr>
        <w:t>TERCERO.-</w:t>
      </w:r>
      <w:r w:rsidRPr="001A43DC">
        <w:rPr>
          <w:rFonts w:ascii="Verdana" w:hAnsi="Verdana"/>
          <w:bCs/>
          <w:sz w:val="20"/>
          <w:lang w:val="es-ES"/>
        </w:rPr>
        <w:t> Se ordena su publicación en el Diario Oficial de la Federación.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Atentamente,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r w:rsidRPr="001A43DC">
        <w:rPr>
          <w:rFonts w:ascii="Verdana" w:hAnsi="Verdana"/>
          <w:bCs/>
          <w:sz w:val="20"/>
          <w:lang w:val="es-ES"/>
        </w:rPr>
        <w:t>Dado en la Ciudad de México, el día 5 del mes de diciembre de dos mil diecisiete.- El Secretario General y Jurídico, </w:t>
      </w:r>
      <w:r w:rsidRPr="001A43DC">
        <w:rPr>
          <w:rFonts w:ascii="Verdana" w:hAnsi="Verdana"/>
          <w:b/>
          <w:bCs/>
          <w:sz w:val="20"/>
          <w:lang w:val="es-ES"/>
        </w:rPr>
        <w:t>Omar Cedillo Villavicencio</w:t>
      </w:r>
      <w:r w:rsidRPr="001A43DC">
        <w:rPr>
          <w:rFonts w:ascii="Verdana" w:hAnsi="Verdana"/>
          <w:bCs/>
          <w:sz w:val="20"/>
          <w:lang w:val="es-ES"/>
        </w:rPr>
        <w:t>.- Rúbrica.- El Coordinador General Jurídico, </w:t>
      </w:r>
      <w:r w:rsidRPr="001A43DC">
        <w:rPr>
          <w:rFonts w:ascii="Verdana" w:hAnsi="Verdana"/>
          <w:b/>
          <w:bCs/>
          <w:sz w:val="20"/>
          <w:lang w:val="es-ES"/>
        </w:rPr>
        <w:t xml:space="preserve">Alejandro Gabriel Cerda </w:t>
      </w:r>
      <w:proofErr w:type="spellStart"/>
      <w:r w:rsidRPr="001A43DC">
        <w:rPr>
          <w:rFonts w:ascii="Verdana" w:hAnsi="Verdana"/>
          <w:b/>
          <w:bCs/>
          <w:sz w:val="20"/>
          <w:lang w:val="es-ES"/>
        </w:rPr>
        <w:t>Erdmann</w:t>
      </w:r>
      <w:proofErr w:type="spellEnd"/>
      <w:r w:rsidRPr="001A43DC">
        <w:rPr>
          <w:rFonts w:ascii="Verdana" w:hAnsi="Verdana"/>
          <w:bCs/>
          <w:sz w:val="20"/>
          <w:lang w:val="es-ES"/>
        </w:rPr>
        <w:t>.- Rúbrica.</w:t>
      </w:r>
    </w:p>
    <w:p w:rsidR="001A43DC" w:rsidRPr="001A43DC" w:rsidRDefault="001A43DC" w:rsidP="001A43DC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8B0C05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05" w:rsidRDefault="008B0C05" w:rsidP="001A43DC">
      <w:pPr>
        <w:spacing w:after="0" w:line="240" w:lineRule="auto"/>
      </w:pPr>
      <w:r>
        <w:separator/>
      </w:r>
    </w:p>
  </w:endnote>
  <w:endnote w:type="continuationSeparator" w:id="0">
    <w:p w:rsidR="008B0C05" w:rsidRDefault="008B0C05" w:rsidP="001A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05" w:rsidRDefault="008B0C05" w:rsidP="001A43DC">
      <w:pPr>
        <w:spacing w:after="0" w:line="240" w:lineRule="auto"/>
      </w:pPr>
      <w:r>
        <w:separator/>
      </w:r>
    </w:p>
  </w:footnote>
  <w:footnote w:type="continuationSeparator" w:id="0">
    <w:p w:rsidR="008B0C05" w:rsidRDefault="008B0C05" w:rsidP="001A4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DC"/>
    <w:rsid w:val="001A43DC"/>
    <w:rsid w:val="002228FA"/>
    <w:rsid w:val="008B0C05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3DC"/>
  </w:style>
  <w:style w:type="paragraph" w:styleId="Piedepgina">
    <w:name w:val="footer"/>
    <w:basedOn w:val="Normal"/>
    <w:link w:val="PiedepginaCar"/>
    <w:uiPriority w:val="99"/>
    <w:unhideWhenUsed/>
    <w:rsid w:val="001A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3DC"/>
  </w:style>
  <w:style w:type="paragraph" w:styleId="Piedepgina">
    <w:name w:val="footer"/>
    <w:basedOn w:val="Normal"/>
    <w:link w:val="PiedepginaCar"/>
    <w:uiPriority w:val="99"/>
    <w:unhideWhenUsed/>
    <w:rsid w:val="001A4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249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525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2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10428</Words>
  <Characters>57354</Characters>
  <Application>Microsoft Office Word</Application>
  <DocSecurity>0</DocSecurity>
  <Lines>477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2018-03-12T14:18:00Z</dcterms:created>
  <dcterms:modified xsi:type="dcterms:W3CDTF">2018-03-12T14:23:00Z</dcterms:modified>
</cp:coreProperties>
</file>