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el otorgamiento del subsidio para la Segunda Etapa de Implementación de la Reforma al Sistema de Justicia Laboral, que celebran la Secretaría del Trabajo y Previsión Social y el Estado de Quintana Roo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TRABAJO.- Secretaría del Trabajo y Previsión Social.</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EL OTORGAMIENTO DEL SUBSIDIO PARA LA "</w:t>
      </w:r>
      <w:r w:rsidDel="00000000" w:rsidR="00000000" w:rsidRPr="00000000">
        <w:rPr>
          <w:i w:val="1"/>
          <w:color w:val="2f2f2f"/>
          <w:sz w:val="16"/>
          <w:szCs w:val="16"/>
          <w:rtl w:val="0"/>
        </w:rPr>
        <w:t xml:space="preserve">SEGUNDA ETAPA DE IMPLEMENTACIÓN DE LA REFORMA AL SISTEMA DE JUSTICIA LABORAL" </w:t>
      </w:r>
      <w:r w:rsidDel="00000000" w:rsidR="00000000" w:rsidRPr="00000000">
        <w:rPr>
          <w:color w:val="2f2f2f"/>
          <w:sz w:val="16"/>
          <w:szCs w:val="16"/>
          <w:rtl w:val="0"/>
        </w:rPr>
        <w:t xml:space="preserve">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QUINTANA ROO, EN ADELANTE "EL GOBIERNO DEL ESTADO", REPRESENTADO POR EL SECRETARIO DE GOBIERNO, DR. JORGE ARTURO CONTRERAS CASTILLO, LA SECRETARIA DEL TRABAJO Y PREVISIÓN SOCIAL E INSTANCIA ESTATAL RESPONSABLE DEL PROYECTO, LIC. CATALINA SAARVELIA PORTILLO NAVARRO, LA SECRETARIA DE FINANZAS Y PLANEACIÓN, DRA. YOHANET TEÓDULA TORRES MUÑOZ, Y EL MAGISTRADO JOSÉ ANTONIO LEÓN RUÍZ, PRESIDENTE DEL TRIBUNAL SUPERIOR DE JUSTICIA Y DEL CONSEJO DE LA JUDICATURA DEL ESTADO DE QUINTANA ROO; A QUIENES CUANDO ACTÚEN CONJUNTAMENTE SE LES DESIGNARÁ COMO "LAS PARTES", AL TENOR DE LOS SIGUIENTES ANTECEDENTES, DECLARACIONES Y CLÁUSULAS: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Con fecha 24 de febrero de 2017, se publicó en el Diario Oficial de la Federación (DOF)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Con fecha 1° de mayo de 2019, se publicó en el DOF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00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000000" w:rsidDel="00000000" w:rsidP="00000000" w:rsidRDefault="00000000" w:rsidRPr="00000000" w14:paraId="0000001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este orden de ideas, detalló que la implementación se realizaría en tres etapas, iniciando la primera de ellas el 18 de noviembre de 2020 en 8 Entidades Federativas.</w:t>
      </w:r>
    </w:p>
    <w:p w:rsidR="00000000" w:rsidDel="00000000" w:rsidP="00000000" w:rsidRDefault="00000000" w:rsidRPr="00000000" w14:paraId="0000001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El 30 de noviembre de 2020, se publicó en el DOF el Presupuesto de Egresos de la Federación para el Ejercicio Fiscal 2021; en el cual se asignaron a la Secretaría del Trabajo y Previsión Social los recursos suficientes para atender su estructura programática, dentro la cual se encuentra el </w:t>
      </w:r>
      <w:r w:rsidDel="00000000" w:rsidR="00000000" w:rsidRPr="00000000">
        <w:rPr>
          <w:b w:val="1"/>
          <w:i w:val="1"/>
          <w:color w:val="2f2f2f"/>
          <w:sz w:val="18"/>
          <w:szCs w:val="18"/>
          <w:rtl w:val="0"/>
        </w:rPr>
        <w:t xml:space="preserve">"Programa Presupuestario U 100 Subsidios a las Entidades federativas para la implementación de la Reforma al Sistema de Justicia Laboral"</w:t>
      </w:r>
      <w:r w:rsidDel="00000000" w:rsidR="00000000" w:rsidRPr="00000000">
        <w:rPr>
          <w:color w:val="2f2f2f"/>
          <w:sz w:val="18"/>
          <w:szCs w:val="18"/>
          <w:rtl w:val="0"/>
        </w:rPr>
        <w:t xml:space="preserve">, en el cual se consideran recursos para coadyuvar con las Entidades federativas que forman parte de la segunda etapa de implementación de la Reforma al Sistema de Justicia Laboral.</w:t>
      </w:r>
    </w:p>
    <w:p w:rsidR="00000000" w:rsidDel="00000000" w:rsidP="00000000" w:rsidRDefault="00000000" w:rsidRPr="00000000" w14:paraId="00000012">
      <w:pPr>
        <w:shd w:fill="ffffff" w:val="clear"/>
        <w:spacing w:after="60" w:lineRule="auto"/>
        <w:ind w:firstLine="280"/>
        <w:jc w:val="both"/>
        <w:rPr>
          <w:b w:val="1"/>
          <w:i w:val="1"/>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Derivado de la fracción anterior, el 29 de diciembre de 2020 se publicaron en el DOF los </w:t>
      </w:r>
      <w:r w:rsidDel="00000000" w:rsidR="00000000" w:rsidRPr="00000000">
        <w:rPr>
          <w:b w:val="1"/>
          <w:i w:val="1"/>
          <w:color w:val="2f2f2f"/>
          <w:sz w:val="18"/>
          <w:szCs w:val="18"/>
          <w:rtl w:val="0"/>
        </w:rPr>
        <w:t xml:space="preserve">Lineamientos por los que se establecen las bases y requisitos que deberán cumplir las Entidades Federativas para acceder al subsidio destinado a la segunda etapa de la implementación de la Reforma al Sistema de Justicia Laboral (Lineamientos).</w:t>
      </w:r>
    </w:p>
    <w:p w:rsidR="00000000" w:rsidDel="00000000" w:rsidP="00000000" w:rsidRDefault="00000000" w:rsidRPr="00000000" w14:paraId="0000001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000000" w:rsidDel="00000000" w:rsidP="00000000" w:rsidRDefault="00000000" w:rsidRPr="00000000" w14:paraId="0000001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Que del cumplimiento en tiempo y forma de los requisitos señalados en los Lineamientos, el Comité de Evaluación determinó aprobar los Proyectos presentados por el Estado de Quintana Roo, por lo que autorizó la cantidad de $48,965,672.71 (Son: Cuarenta y Ocho Millones Novecientos Sesenta y Cinco Mil Seiscientos Setenta y Dos Pesos 71/100 Moneada Nacional) para la instalación de los Centros de Conciliación y Tribunales Laborales Locales.</w:t>
      </w:r>
    </w:p>
    <w:p w:rsidR="00000000" w:rsidDel="00000000" w:rsidP="00000000" w:rsidRDefault="00000000" w:rsidRPr="00000000" w14:paraId="0000001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Dicha situación se notificó a la Entidad Federativa mediante resolución del Comité de Evaluación el 17 de mayo de 2021, por lo que, en cumplimiento con lo establecido en el numeral Décimo noveno, Vigésimo tercero y Vigésimo cuarto de los Lineamientos, se celebra el presente instrumento para la transferencia de los recursos referidos en la fracción anterior.</w:t>
      </w:r>
    </w:p>
    <w:p w:rsidR="00000000" w:rsidDel="00000000" w:rsidP="00000000" w:rsidRDefault="00000000" w:rsidRPr="00000000" w14:paraId="00000017">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18">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1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I.1. </w:t>
      </w:r>
      <w:r w:rsidDel="00000000" w:rsidR="00000000" w:rsidRPr="00000000">
        <w:rPr>
          <w:color w:val="2f2f2f"/>
          <w:sz w:val="18"/>
          <w:szCs w:val="18"/>
          <w:rtl w:val="0"/>
        </w:rPr>
        <w:t xml:space="preserve">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00000" w:rsidDel="00000000" w:rsidP="00000000" w:rsidRDefault="00000000" w:rsidRPr="00000000" w14:paraId="0000001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18"/>
          <w:szCs w:val="18"/>
          <w:rtl w:val="0"/>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1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I.3. </w:t>
      </w:r>
      <w:r w:rsidDel="00000000" w:rsidR="00000000" w:rsidRPr="00000000">
        <w:rPr>
          <w:color w:val="2f2f2f"/>
          <w:sz w:val="18"/>
          <w:szCs w:val="18"/>
          <w:rtl w:val="0"/>
        </w:rPr>
        <w:t xml:space="preserve">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w:t>
      </w:r>
    </w:p>
    <w:p w:rsidR="00000000" w:rsidDel="00000000" w:rsidP="00000000" w:rsidRDefault="00000000" w:rsidRPr="00000000" w14:paraId="0000001C">
      <w:pPr>
        <w:shd w:fill="ffffff" w:val="clear"/>
        <w:spacing w:after="60" w:lineRule="auto"/>
        <w:jc w:val="both"/>
        <w:rPr>
          <w:color w:val="2f2f2f"/>
          <w:sz w:val="18"/>
          <w:szCs w:val="18"/>
        </w:rPr>
      </w:pPr>
      <w:r w:rsidDel="00000000" w:rsidR="00000000" w:rsidRPr="00000000">
        <w:rPr>
          <w:color w:val="2f2f2f"/>
          <w:sz w:val="18"/>
          <w:szCs w:val="18"/>
          <w:rtl w:val="0"/>
        </w:rPr>
        <w:t xml:space="preserve">Unidad de Enlace para la Reforma al Sistema de Justicia Laboral de la Secretaría del Trabajo y Previsión Social, publicado en el Diario Oficial de la Federación el 17 de marzo de 2020.</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I.4. </w:t>
      </w:r>
      <w:r w:rsidDel="00000000" w:rsidR="00000000" w:rsidRPr="00000000">
        <w:rPr>
          <w:color w:val="2f2f2f"/>
          <w:sz w:val="18"/>
          <w:szCs w:val="18"/>
          <w:rtl w:val="0"/>
        </w:rPr>
        <w:t xml:space="preserve">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I.5. </w:t>
      </w:r>
      <w:r w:rsidDel="00000000" w:rsidR="00000000" w:rsidRPr="00000000">
        <w:rPr>
          <w:color w:val="2f2f2f"/>
          <w:sz w:val="18"/>
          <w:szCs w:val="18"/>
          <w:rtl w:val="0"/>
        </w:rPr>
        <w:t xml:space="preserve">Para dar cumplimiento al presente Convenio de Coordinación, cuenta con los recursos económicos suficientes para la implementación de la segunda etapa de la Reforma en Materia de Justicia Laboral, Libertad Sindical y Negociación Colectiva, publicada en el DOF el 1º de mayo de 2019, para crear los Centros de Conciliación Locales y Tribunales Laborales Locales.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18"/>
          <w:szCs w:val="18"/>
          <w:rtl w:val="0"/>
        </w:rPr>
        <w:t xml:space="preserve"> Para efectos derivados del presente Convenio, señala como su domicilio el ubicado en Calle La Morena, número 804, Piso 5, Colonia Narvarte Poniente, Alcaldía Benito Juárez, Código Postal 03020, en la Ciudad de México.</w:t>
      </w:r>
    </w:p>
    <w:p w:rsidR="00000000" w:rsidDel="00000000" w:rsidP="00000000" w:rsidRDefault="00000000" w:rsidRPr="00000000" w14:paraId="000000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"EL GOBIERNO DEL ESTADO" declara que:</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18"/>
          <w:szCs w:val="18"/>
          <w:rtl w:val="0"/>
        </w:rPr>
        <w:t xml:space="preserve"> Con fundamento en los artículos 40, 41 primer párrafo, 42, fracción I, 43 y 116 de la Constitución Política de los Estados Unidos Mexicanos; así como 1, 2, 5 y 78 de la Constitución Política del Estado Libre y Soberano de Quintana Roo, es un Estado libre y soberano en todo lo concerniente a su régimen interior y forma parte integrante de la Federación.</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18"/>
          <w:szCs w:val="18"/>
          <w:rtl w:val="0"/>
        </w:rPr>
        <w:t xml:space="preserve"> Asiste en la suscripción del presente Convenio de Coordinación el Titular de la Secretaría de Gobierno, el Dr. Jorge Arturo Contreras Castillo, con fundamento en los artículos 3, 19 fracción I, 30 fracción VII y 31 fracciones I y XXVIII de la Ley Orgánica de la Administración Pública del Estado de Quintana Roo y 9 fracción XX del Reglamento Interior de la Secretaría de Gobierno.</w:t>
      </w:r>
    </w:p>
    <w:p w:rsidR="00000000" w:rsidDel="00000000" w:rsidP="00000000" w:rsidRDefault="00000000" w:rsidRPr="00000000" w14:paraId="00000023">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II.3.</w:t>
      </w:r>
      <w:r w:rsidDel="00000000" w:rsidR="00000000" w:rsidRPr="00000000">
        <w:rPr>
          <w:color w:val="2f2f2f"/>
          <w:sz w:val="18"/>
          <w:szCs w:val="18"/>
          <w:rtl w:val="0"/>
        </w:rPr>
        <w:t xml:space="preserve"> De conformidad con lo dispuesto en los artículos 3, 9, 10</w:t>
      </w:r>
      <w:r w:rsidDel="00000000" w:rsidR="00000000" w:rsidRPr="00000000">
        <w:rPr>
          <w:color w:val="00ffff"/>
          <w:sz w:val="18"/>
          <w:szCs w:val="18"/>
          <w:rtl w:val="0"/>
        </w:rPr>
        <w:t xml:space="preserve">, </w:t>
      </w:r>
      <w:r w:rsidDel="00000000" w:rsidR="00000000" w:rsidRPr="00000000">
        <w:rPr>
          <w:sz w:val="18"/>
          <w:szCs w:val="18"/>
          <w:rtl w:val="0"/>
        </w:rPr>
        <w:t xml:space="preserve">92 y 116 de la Constitución Política del Estado Libre y Soberano de Quintana Roo, 3, 4, 8, 19 fracción III, 30 fracción VII y 33 fracciones I, XVI y XXXVI de la Ley Orgánica de la Administración Pública del Estado de Quintana Roo y 3, 5, 9 y 10 fracciones I, X, XI y XII del Reglamento Interior de la Secretaría de Finanzas y Planeación, la Dra. Yohanet Teódula Torres Muñoz, en su carácter de Secretaria de Finanzas y Planeación del Estado de Quintana Roo, se encuentra facultada para suscribir el presente Convenio.</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18"/>
          <w:szCs w:val="18"/>
          <w:rtl w:val="0"/>
        </w:rPr>
        <w:t xml:space="preserve"> De conformidad con lo dispuesto en los artículos 3, 9, 10 y 92 de la Constitución Política del Estado Libre y Soberano de Quintana Roo, 3, 19 fracción VIII, 30 fracción VII y 38 fracciones I y XXV de la Ley Orgánica de la Administración Pública del Estado de Quintana Roo, 11 y 12 fracciones VII y XVIII del Reglamento Interior de la Secretaría del Trabajo y Previsión Social, la Lic. Catalina Saarvelia Portillo Navarro, en su carácter de Secretaria del Trabajo y Previsión Social del Estado de Quintana Roo, se encuentra facultada para suscribir el presente Convenio y fungirá como Instancia Estatal Responsable del Gobierno Local, encargado de la implementación del Nuevo Sistema de Justicia Laboral.</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II.5. </w:t>
      </w:r>
      <w:r w:rsidDel="00000000" w:rsidR="00000000" w:rsidRPr="00000000">
        <w:rPr>
          <w:color w:val="2f2f2f"/>
          <w:sz w:val="18"/>
          <w:szCs w:val="18"/>
          <w:rtl w:val="0"/>
        </w:rPr>
        <w:t xml:space="preserve">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18"/>
          <w:szCs w:val="18"/>
          <w:rtl w:val="0"/>
        </w:rPr>
        <w:t xml:space="preserve"> Para los efectos del presente instrumento, tiene como domicilio legal el ubicado en Avenida Efraín Aguilar Número 467, Colonia Campestre, de la Ciudad de Chetumal, Quintana Roo.</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II.7. </w:t>
      </w:r>
      <w:r w:rsidDel="00000000" w:rsidR="00000000" w:rsidRPr="00000000">
        <w:rPr>
          <w:color w:val="2f2f2f"/>
          <w:sz w:val="18"/>
          <w:szCs w:val="18"/>
          <w:rtl w:val="0"/>
        </w:rPr>
        <w:t xml:space="preserve">El Magistrado José Antonio León Ruiz, Presidente del Tribunal Superior de Justicia y del Consejo de la Judicatura del Estado de Quintana Roo, cuenta con facultades para suscribir el presente instrumento jurídico en términos de lo dispuesto por el artículo 116 fracción III de la Constitución Política de los Estados Unidos Mexicanos; los artículos 97 y 106 de la Constitución Política del Estado de Quintana Roo; y los artículos 87 y 90 de la Ley Orgánica del Poder Judicial del Estado de Quintana Roo; así como el acuerdo del Pleno del Consejo de la Judicatura del Poder Judicial del Estado de Quintana Roo, de Sesión Ordinaria de fecha veinte de mayo de dos mil veintiuno, mediante el cual manifiesta su consenso para la suscripción del presente instrumento.</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Reconocen en forma recíproca la personalidad con la que se ostentan y comparecen a la suscripción de este Convenio.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18"/>
          <w:szCs w:val="18"/>
          <w:rtl w:val="0"/>
        </w:rPr>
        <w:t xml:space="preserve"> Están convencidas de la importancia de instrumentar, con prioridad, los mecanismos necesarios para</w:t>
      </w:r>
    </w:p>
    <w:p w:rsidR="00000000" w:rsidDel="00000000" w:rsidP="00000000" w:rsidRDefault="00000000" w:rsidRPr="00000000" w14:paraId="0000002C">
      <w:pPr>
        <w:shd w:fill="ffffff" w:val="clear"/>
        <w:spacing w:after="100" w:lineRule="auto"/>
        <w:jc w:val="both"/>
        <w:rPr>
          <w:color w:val="2f2f2f"/>
          <w:sz w:val="18"/>
          <w:szCs w:val="18"/>
        </w:rPr>
      </w:pPr>
      <w:r w:rsidDel="00000000" w:rsidR="00000000" w:rsidRPr="00000000">
        <w:rPr>
          <w:color w:val="2f2f2f"/>
          <w:sz w:val="18"/>
          <w:szCs w:val="18"/>
          <w:rtl w:val="0"/>
        </w:rPr>
        <w:t xml:space="preserve">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18"/>
          <w:szCs w:val="18"/>
          <w:rtl w:val="0"/>
        </w:rPr>
        <w:t xml:space="preserve">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18"/>
          <w:szCs w:val="18"/>
          <w:rtl w:val="0"/>
        </w:rPr>
        <w:t xml:space="preserve"> Se obligan al cumplimiento de los preceptos establecidos en los Lineamientos y las leyes aplicables en la materia.</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 lo anterior, "LAS PARTES" sujetan su compromiso a la forma y términos que se establecen en las siguientes:</w:t>
      </w:r>
    </w:p>
    <w:p w:rsidR="00000000" w:rsidDel="00000000" w:rsidP="00000000" w:rsidRDefault="00000000" w:rsidRPr="00000000" w14:paraId="0000003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presente Convenio de Coordinación tiene por objeto el otorgamiento de los recursos autorizados al Estado de Quintana Roo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ASIGNACIÓN DE LOS RECURSOS.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Para el cumplimiento del objeto señalado en la cláusula anterior, "LA SECRETARÍA" asignará la cantidad de $48,965,672.71 (Son: Cuarenta y Ocho Millones Novecientos Sesenta y Cinco Mil Seiscientos Setenta y Dos Pesos 71/100 Moneda Nacional) correspondiente al recurso autorizado por el Comité de Evaluación, de los cuales $24,969,145.26 (Son: Veinticuatro Millones Novecientos Sesenta y Nueve Mil Ciento Cuarenta y Cinco Pesos 26/100 Moneda Nacional) serán destinados para la creación de los Centros de Conciliación Locales; y $23,996,527.45 (Son: Veintitrés Millones Novecientos Noventa y Seis Mil Quinientos Veintisiete Pesos 45/100 Moneda Nacional) para la creación de los Tribunales Laborales Locales.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ejecución del Proyecto y el ejercicio de los recursos serán responsabilidad de la Secretaría del Trabajo y Previsión Social y del Poder Judicial del Estado, según corresponda.</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se radicarán a "EL GOBIERNO DEL ESTADO", a través de la Secretaría de Finanzas y Planeación,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000"/>
        <w:tblGridChange w:id="0">
          <w:tblGrid>
            <w:gridCol w:w="2805"/>
            <w:gridCol w:w="600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both"/>
              <w:rPr>
                <w:b w:val="1"/>
                <w:sz w:val="18"/>
                <w:szCs w:val="18"/>
              </w:rPr>
            </w:pPr>
            <w:r w:rsidDel="00000000" w:rsidR="00000000" w:rsidRPr="00000000">
              <w:rPr>
                <w:b w:val="1"/>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jc w:val="both"/>
              <w:rPr>
                <w:sz w:val="18"/>
                <w:szCs w:val="18"/>
              </w:rPr>
            </w:pPr>
            <w:r w:rsidDel="00000000" w:rsidR="00000000" w:rsidRPr="00000000">
              <w:rPr>
                <w:sz w:val="18"/>
                <w:szCs w:val="18"/>
                <w:rtl w:val="0"/>
              </w:rPr>
              <w:t xml:space="preserve">690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both"/>
              <w:rPr>
                <w:b w:val="1"/>
                <w:sz w:val="18"/>
                <w:szCs w:val="18"/>
              </w:rPr>
            </w:pPr>
            <w:r w:rsidDel="00000000" w:rsidR="00000000" w:rsidRPr="00000000">
              <w:rPr>
                <w:b w:val="1"/>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both"/>
              <w:rPr>
                <w:sz w:val="18"/>
                <w:szCs w:val="18"/>
              </w:rPr>
            </w:pPr>
            <w:r w:rsidDel="00000000" w:rsidR="00000000" w:rsidRPr="00000000">
              <w:rPr>
                <w:sz w:val="18"/>
                <w:szCs w:val="18"/>
                <w:rtl w:val="0"/>
              </w:rPr>
              <w:t xml:space="preserve">BBVA BANCOMER, S.A.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both"/>
              <w:rPr>
                <w:b w:val="1"/>
                <w:sz w:val="18"/>
                <w:szCs w:val="18"/>
              </w:rPr>
            </w:pPr>
            <w:r w:rsidDel="00000000" w:rsidR="00000000" w:rsidRPr="00000000">
              <w:rPr>
                <w:b w:val="1"/>
                <w:sz w:val="18"/>
                <w:szCs w:val="18"/>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both"/>
              <w:rPr>
                <w:sz w:val="18"/>
                <w:szCs w:val="18"/>
              </w:rPr>
            </w:pPr>
            <w:r w:rsidDel="00000000" w:rsidR="00000000" w:rsidRPr="00000000">
              <w:rPr>
                <w:sz w:val="18"/>
                <w:szCs w:val="18"/>
                <w:rtl w:val="0"/>
              </w:rPr>
              <w:t xml:space="preserve">00116817106</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ind w:left="80" w:firstLine="0"/>
              <w:jc w:val="both"/>
              <w:rPr>
                <w:b w:val="1"/>
                <w:sz w:val="18"/>
                <w:szCs w:val="18"/>
              </w:rPr>
            </w:pPr>
            <w:r w:rsidDel="00000000" w:rsidR="00000000" w:rsidRPr="00000000">
              <w:rPr>
                <w:b w:val="1"/>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80" w:firstLine="0"/>
              <w:jc w:val="both"/>
              <w:rPr>
                <w:sz w:val="18"/>
                <w:szCs w:val="18"/>
              </w:rPr>
            </w:pPr>
            <w:r w:rsidDel="00000000" w:rsidR="00000000" w:rsidRPr="00000000">
              <w:rPr>
                <w:sz w:val="18"/>
                <w:szCs w:val="18"/>
                <w:rtl w:val="0"/>
              </w:rPr>
              <w:t xml:space="preserve">012690001168171061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both"/>
              <w:rPr>
                <w:b w:val="1"/>
                <w:sz w:val="18"/>
                <w:szCs w:val="18"/>
              </w:rPr>
            </w:pPr>
            <w:r w:rsidDel="00000000" w:rsidR="00000000" w:rsidRPr="00000000">
              <w:rPr>
                <w:b w:val="1"/>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both"/>
              <w:rPr>
                <w:sz w:val="18"/>
                <w:szCs w:val="18"/>
              </w:rPr>
            </w:pPr>
            <w:r w:rsidDel="00000000" w:rsidR="00000000" w:rsidRPr="00000000">
              <w:rPr>
                <w:sz w:val="18"/>
                <w:szCs w:val="18"/>
                <w:rtl w:val="0"/>
              </w:rPr>
              <w:t xml:space="preserve">GEL741008GY9</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both"/>
              <w:rPr>
                <w:b w:val="1"/>
                <w:sz w:val="18"/>
                <w:szCs w:val="18"/>
              </w:rPr>
            </w:pPr>
            <w:r w:rsidDel="00000000" w:rsidR="00000000" w:rsidRPr="00000000">
              <w:rPr>
                <w:b w:val="1"/>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both"/>
              <w:rPr>
                <w:sz w:val="18"/>
                <w:szCs w:val="18"/>
              </w:rPr>
            </w:pPr>
            <w:r w:rsidDel="00000000" w:rsidR="00000000" w:rsidRPr="00000000">
              <w:rPr>
                <w:sz w:val="18"/>
                <w:szCs w:val="18"/>
                <w:rtl w:val="0"/>
              </w:rPr>
              <w:t xml:space="preserve">Calle 22 de enero, número 1, Colonia Centro, Othón P: Blanco, Chetumal, Quintana Roo.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both"/>
              <w:rPr>
                <w:b w:val="1"/>
                <w:sz w:val="18"/>
                <w:szCs w:val="18"/>
              </w:rPr>
            </w:pPr>
            <w:r w:rsidDel="00000000" w:rsidR="00000000" w:rsidRPr="00000000">
              <w:rPr>
                <w:b w:val="1"/>
                <w:sz w:val="18"/>
                <w:szCs w:val="18"/>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80" w:firstLine="0"/>
              <w:jc w:val="both"/>
              <w:rPr>
                <w:i w:val="1"/>
                <w:sz w:val="18"/>
                <w:szCs w:val="18"/>
              </w:rPr>
            </w:pPr>
            <w:r w:rsidDel="00000000" w:rsidR="00000000" w:rsidRPr="00000000">
              <w:rPr>
                <w:i w:val="1"/>
                <w:sz w:val="18"/>
                <w:szCs w:val="18"/>
                <w:rtl w:val="0"/>
              </w:rPr>
              <w:t xml:space="preserve">"Proyecto para la Implementación de la segunda etapa de la Reforma al Sistema de Justicia Laboral en el Estado de Quintana Roo."</w:t>
            </w:r>
          </w:p>
        </w:tc>
      </w:tr>
    </w:tbl>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Finanzas y Planeación se compromete a transferir al Poder Judicial del Estado la cantidad requerida, en la cuenta que aperturó conforme a lo que establece el numeral Vigésimo segundo, inciso b, y que se identifica con los siguientes datos: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6195"/>
        <w:tblGridChange w:id="0">
          <w:tblGrid>
            <w:gridCol w:w="2610"/>
            <w:gridCol w:w="61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jc w:val="both"/>
              <w:rPr>
                <w:b w:val="1"/>
                <w:sz w:val="18"/>
                <w:szCs w:val="18"/>
              </w:rPr>
            </w:pPr>
            <w:r w:rsidDel="00000000" w:rsidR="00000000" w:rsidRPr="00000000">
              <w:rPr>
                <w:b w:val="1"/>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80" w:firstLine="0"/>
              <w:jc w:val="both"/>
              <w:rPr>
                <w:sz w:val="18"/>
                <w:szCs w:val="18"/>
              </w:rPr>
            </w:pPr>
            <w:r w:rsidDel="00000000" w:rsidR="00000000" w:rsidRPr="00000000">
              <w:rPr>
                <w:sz w:val="18"/>
                <w:szCs w:val="18"/>
                <w:rtl w:val="0"/>
              </w:rPr>
              <w:t xml:space="preserve">1692</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jc w:val="both"/>
              <w:rPr>
                <w:b w:val="1"/>
                <w:sz w:val="18"/>
                <w:szCs w:val="18"/>
              </w:rPr>
            </w:pPr>
            <w:r w:rsidDel="00000000" w:rsidR="00000000" w:rsidRPr="00000000">
              <w:rPr>
                <w:b w:val="1"/>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100" w:lineRule="auto"/>
              <w:ind w:left="80" w:firstLine="0"/>
              <w:jc w:val="both"/>
              <w:rPr>
                <w:sz w:val="18"/>
                <w:szCs w:val="18"/>
              </w:rPr>
            </w:pPr>
            <w:r w:rsidDel="00000000" w:rsidR="00000000" w:rsidRPr="00000000">
              <w:rPr>
                <w:sz w:val="18"/>
                <w:szCs w:val="18"/>
                <w:rtl w:val="0"/>
              </w:rPr>
              <w:t xml:space="preserve">Banco Santander (México), S.A. Institución de Banca Múltiple Grupo Financiero Santander México.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80" w:firstLine="0"/>
              <w:jc w:val="both"/>
              <w:rPr>
                <w:b w:val="1"/>
                <w:sz w:val="18"/>
                <w:szCs w:val="18"/>
              </w:rPr>
            </w:pPr>
            <w:r w:rsidDel="00000000" w:rsidR="00000000" w:rsidRPr="00000000">
              <w:rPr>
                <w:b w:val="1"/>
                <w:sz w:val="18"/>
                <w:szCs w:val="18"/>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80" w:firstLine="0"/>
              <w:jc w:val="both"/>
              <w:rPr>
                <w:sz w:val="18"/>
                <w:szCs w:val="18"/>
              </w:rPr>
            </w:pPr>
            <w:r w:rsidDel="00000000" w:rsidR="00000000" w:rsidRPr="00000000">
              <w:rPr>
                <w:sz w:val="18"/>
                <w:szCs w:val="18"/>
                <w:rtl w:val="0"/>
              </w:rPr>
              <w:t xml:space="preserve">18-0001-84126</w:t>
            </w:r>
          </w:p>
        </w:tc>
      </w:tr>
    </w:tbl>
    <w:p w:rsidR="00000000" w:rsidDel="00000000" w:rsidP="00000000" w:rsidRDefault="00000000" w:rsidRPr="00000000" w14:paraId="0000004B">
      <w:pPr>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6195"/>
        <w:tblGridChange w:id="0">
          <w:tblGrid>
            <w:gridCol w:w="2610"/>
            <w:gridCol w:w="61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100" w:lineRule="auto"/>
              <w:ind w:left="80" w:firstLine="0"/>
              <w:jc w:val="both"/>
              <w:rPr>
                <w:b w:val="1"/>
                <w:sz w:val="18"/>
                <w:szCs w:val="18"/>
              </w:rPr>
            </w:pPr>
            <w:r w:rsidDel="00000000" w:rsidR="00000000" w:rsidRPr="00000000">
              <w:rPr>
                <w:b w:val="1"/>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80" w:firstLine="0"/>
              <w:jc w:val="both"/>
              <w:rPr>
                <w:sz w:val="18"/>
                <w:szCs w:val="18"/>
              </w:rPr>
            </w:pPr>
            <w:r w:rsidDel="00000000" w:rsidR="00000000" w:rsidRPr="00000000">
              <w:rPr>
                <w:sz w:val="18"/>
                <w:szCs w:val="18"/>
                <w:rtl w:val="0"/>
              </w:rPr>
              <w:t xml:space="preserve">014691180001841266</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100" w:lineRule="auto"/>
              <w:ind w:left="80" w:firstLine="0"/>
              <w:jc w:val="both"/>
              <w:rPr>
                <w:b w:val="1"/>
                <w:sz w:val="18"/>
                <w:szCs w:val="18"/>
              </w:rPr>
            </w:pPr>
            <w:r w:rsidDel="00000000" w:rsidR="00000000" w:rsidRPr="00000000">
              <w:rPr>
                <w:b w:val="1"/>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100" w:lineRule="auto"/>
              <w:ind w:left="80" w:firstLine="0"/>
              <w:jc w:val="both"/>
              <w:rPr>
                <w:sz w:val="18"/>
                <w:szCs w:val="18"/>
              </w:rPr>
            </w:pPr>
            <w:r w:rsidDel="00000000" w:rsidR="00000000" w:rsidRPr="00000000">
              <w:rPr>
                <w:sz w:val="18"/>
                <w:szCs w:val="18"/>
                <w:rtl w:val="0"/>
              </w:rPr>
              <w:t xml:space="preserve">TSJ74101589A</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100" w:lineRule="auto"/>
              <w:ind w:left="80" w:firstLine="0"/>
              <w:jc w:val="both"/>
              <w:rPr>
                <w:b w:val="1"/>
                <w:sz w:val="18"/>
                <w:szCs w:val="18"/>
              </w:rPr>
            </w:pPr>
            <w:r w:rsidDel="00000000" w:rsidR="00000000" w:rsidRPr="00000000">
              <w:rPr>
                <w:b w:val="1"/>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80" w:firstLine="0"/>
              <w:jc w:val="both"/>
              <w:rPr>
                <w:sz w:val="18"/>
                <w:szCs w:val="18"/>
              </w:rPr>
            </w:pPr>
            <w:r w:rsidDel="00000000" w:rsidR="00000000" w:rsidRPr="00000000">
              <w:rPr>
                <w:sz w:val="18"/>
                <w:szCs w:val="18"/>
                <w:rtl w:val="0"/>
              </w:rPr>
              <w:t xml:space="preserve">Av. Independencia número 2, esquina Boulevard Bahía, Colonia Centro, Othón P. Blanco, Quintana Roo. C.P. 77000.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100" w:lineRule="auto"/>
              <w:ind w:left="80" w:firstLine="0"/>
              <w:jc w:val="both"/>
              <w:rPr>
                <w:b w:val="1"/>
                <w:sz w:val="18"/>
                <w:szCs w:val="18"/>
              </w:rPr>
            </w:pPr>
            <w:r w:rsidDel="00000000" w:rsidR="00000000" w:rsidRPr="00000000">
              <w:rPr>
                <w:b w:val="1"/>
                <w:sz w:val="18"/>
                <w:szCs w:val="18"/>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100" w:lineRule="auto"/>
              <w:ind w:left="80" w:firstLine="0"/>
              <w:jc w:val="both"/>
              <w:rPr>
                <w:i w:val="1"/>
                <w:sz w:val="18"/>
                <w:szCs w:val="18"/>
              </w:rPr>
            </w:pPr>
            <w:r w:rsidDel="00000000" w:rsidR="00000000" w:rsidRPr="00000000">
              <w:rPr>
                <w:i w:val="1"/>
                <w:sz w:val="18"/>
                <w:szCs w:val="18"/>
                <w:rtl w:val="0"/>
              </w:rPr>
              <w:t xml:space="preserve">"Proyecto para la creación de Tribunales Laborales Locales en el Estado de Quintana Roo"</w:t>
            </w:r>
          </w:p>
        </w:tc>
      </w:tr>
    </w:tbl>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un requisito indispensable que "EL GOBIERNO DEL ESTADO" remita, a través de su Secretaría de Finanzas y Planeación, a "LA SECRETARÍA" la solicitud de transferencia de recursos con los requisitos señalados en el numeral Vigésimo quinto, de los Lineamientos.</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Posteriormente, dentro de los diez días hábiles siguientes a la transferencia de los recursos "EL GOBIERNO DEL ESTADO" deberá emitir el recibo electrónico correspondiente por el monto depositado, mismo que deberá estar validado por el Secretario de Finanzas y Planeación, cumplir con los requisitos establecidos en el artículo 29-A del Código Fiscal de la Federación y enviarlo a "LA SECRETARÍA" vía correo electrónico a la dirección reforma.laboral@stps.gob.mx, así como adjuntarlo en la Plataforma.</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asignados a la Entidad Federativa se encuentran sujetos a la disponibilidad de estos en términos del Presupuesto de Egresos de la Federación 2021,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COMPROMISO DE "LAS PARTES".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Además de lo previsto en los Lineamientos, para la realización del objeto del presente Convenio, "LAS PARTES" se comprometen a lo siguiente:</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0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establecido en la LFPRH, su Reglamento y demás legislación aplicable en materia de subsidios.</w:t>
      </w:r>
    </w:p>
    <w:p w:rsidR="00000000" w:rsidDel="00000000" w:rsidP="00000000" w:rsidRDefault="00000000" w:rsidRPr="00000000" w14:paraId="000000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todos los acuerdos del CCIRSJL y los que deriven de las Reuniones de coordinación para la segunda etapa de la implementación de la reforma al Sistema de Justicia Laboral.</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COMPROMISOS DE "LA SECRETARÍA". "LA SECRETARÍA", a través de la UERSJL, se obliga a:</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los recursos públicos federales por concepto de subsidios objeto del presente Convenio, para la ejecución de los Proyectos a que se refieren las CLÁUSULAS PRIMERA y SEGUNDA, conforme a lo aprobado por el Comité de Evaluación, hasta dentro de los dentro de los treinta días naturales siguientes al envío de la solicitud de transferencia de recursos, conforme a lo dispuesto en el numeral Vigésimo séptimo de los Lineamientos.</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06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el DOF el presente Convenio, una vez firmado por "LAS PARTES", para los efectos legales conducentes.</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COMPROMISOS DE "EL GOBIERNO DEL ESTADO". "EL GOBIERNO DEL ESTADO" se compromete a:</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por conducto de la Secretaría del Trabajo y Previsión Social del Estado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el recurso federal de conformidad con lo establecido en los Proyectos presentados, a más tardar el 1º de octubre de 2021.</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Iniciar las acciones para dar cumplimiento a los objetivos y metas definidas en los Proyectos presentados y en el Plan calendarizado, una vez que se firme el presente Convenio.</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resguardar y conservar la documentación justificativa y comprobatoria de las erogaciones cubiertas con los recursos federales que le sean entregados por concepto de subsidios.</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contabilidad y en la Cuenta Pública local, conforme sean devengados y ejercidos los recursos, y dar cumplimiento a las disposiciones federales aplicables respecto de la administración de éstos.</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resguardar los expedientes relacionados con la ejecución y comprobación de los Proyectos financiados con los recursos otorgados objeto del presente instrumento.</w:t>
      </w:r>
    </w:p>
    <w:p w:rsidR="00000000" w:rsidDel="00000000" w:rsidP="00000000" w:rsidRDefault="00000000" w:rsidRPr="00000000" w14:paraId="000000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Reportar trimestralmente por rubro, conforme al Plan calendarizado lo siguiente:</w:t>
      </w:r>
    </w:p>
    <w:p w:rsidR="00000000" w:rsidDel="00000000" w:rsidP="00000000" w:rsidRDefault="00000000" w:rsidRPr="00000000" w14:paraId="00000071">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sobre el ejercicio, destino y resultados obtenidos con los recursos del subsidio;</w:t>
      </w:r>
    </w:p>
    <w:p w:rsidR="00000000" w:rsidDel="00000000" w:rsidP="00000000" w:rsidRDefault="00000000" w:rsidRPr="00000000" w14:paraId="0000007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disponibilidad financiera con la que cuente y el recurso del subsidio autorizado, comprometido, devengado, ejercido pagado y disponible el cual deberá ser validado por la Secretaría de Finanzas de la Entidad Federativa o su equivalente, y soportado con la documentación inherente al Proyecto que corresponda (instalación de Centros de Conciliación o Tribunales Laborales locales).</w:t>
      </w:r>
    </w:p>
    <w:p w:rsidR="00000000" w:rsidDel="00000000" w:rsidP="00000000" w:rsidRDefault="00000000" w:rsidRPr="00000000" w14:paraId="0000007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instrumentos contractuales correspondientes a los procesos de adjudicación realizados en el periodo reportado.</w:t>
      </w:r>
    </w:p>
    <w:p w:rsidR="00000000" w:rsidDel="00000000" w:rsidP="00000000" w:rsidRDefault="00000000" w:rsidRPr="00000000" w14:paraId="0000007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comprobantes fiscales en términos de las leyes aplicables y la verificación de estos en la página de Sistema de Administración Tributaria (SAT).</w:t>
      </w:r>
    </w:p>
    <w:p w:rsidR="00000000" w:rsidDel="00000000" w:rsidP="00000000" w:rsidRDefault="00000000" w:rsidRPr="00000000" w14:paraId="00000075">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de cuenta bancarios del periodo reportado.</w:t>
      </w:r>
    </w:p>
    <w:p w:rsidR="00000000" w:rsidDel="00000000" w:rsidP="00000000" w:rsidRDefault="00000000" w:rsidRPr="00000000" w14:paraId="00000076">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grado de avance de los Proyectos medidos con base en las metas e indicadores que se muestren en el formato de la Plataforma que "LA SECRETARÍA" habilite para tal fin.</w:t>
      </w:r>
    </w:p>
    <w:p w:rsidR="00000000" w:rsidDel="00000000" w:rsidP="00000000" w:rsidRDefault="00000000" w:rsidRPr="00000000" w14:paraId="00000077">
      <w:pPr>
        <w:shd w:fill="ffffff" w:val="clear"/>
        <w:spacing w:after="100" w:lineRule="auto"/>
        <w:ind w:left="1440" w:hanging="3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reportes también deberán hacer mención del avance del Proyecto con su debido soporte documental</w:t>
      </w:r>
      <w:r w:rsidDel="00000000" w:rsidR="00000000" w:rsidRPr="00000000">
        <w:rPr>
          <w:b w:val="1"/>
          <w:color w:val="2f2f2f"/>
          <w:sz w:val="18"/>
          <w:szCs w:val="18"/>
          <w:rtl w:val="0"/>
        </w:rPr>
        <w:t xml:space="preserve">.</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los Lineamientos, presentar a "LA SECRETARÍA", a más tardar el 16 de octubre de 2021, el Acta de cierre del Proyecto, firmada por las autoridades responsables, la cual deberá cumplir con los requisitos que se establecen en el numeral Trigésimo octavo, inciso p, de los Lineamientos.</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SECRETARÍA" el cambio de los servidores públicos con injerencia directa en la aplicación de los Lineamientos, que se realice en la Entidad Federativa hasta el 16 de octubre de 2021,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000000" w:rsidDel="00000000" w:rsidP="00000000" w:rsidRDefault="00000000" w:rsidRPr="00000000" w14:paraId="000000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SECRETARÍA" sobre cualquier cambio de la persona designada como Enlace, así como del personal responsable del seguimiento del Subsidio, en un plazo no mayor a 20 días hábiles contados a partir del cambio correspondiente, proporcionando los datos de contacto de quien asumirá dichas funciones.</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y observar en todo momento las disposiciones de la LFPRH, el RLFPRH, el Presupuesto de Egresos de la Federación 2021, y demás legislación aplicable a la materia.</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ENLACES.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Las o los servidores públicos que fungirán como enlaces entre "LAS PARTES" serán, por "EL GOBIERNO DEL ESTADO" el designado por el Secretario del Trabajo y Previsión Social y el designado por el Presidente del Tribunal Superior de Justicia y del Consejo de la Judicatura del Estado , y por "LA SECRETARÍA" la persona designada por la UERSJL.</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través de las personas enlaces se efectuarán todas las comunicaciones derivadas de la operación del presente Convenio de Coordinación, quienes serán responsables internos de las actividades encomendadas.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 anterior deberá atender lo dispuesto en el numeral Trigésimo octavo, inciso f, de los Lineamientos.</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APLICACIONES DE LOS RECURSOS.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2021, deberán ser reintegrados a la Tesorería de la Federación en términos de lo dispuesto en el capítulo X de los Lineamientos.</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RESPONSABILIDAD DEL RESGUARDO DE LA DOCUMENTACIÓN.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 SECRETARÍA", la documentación original que deberá conservar y que estará bajo su resguardo es la que señalan los numerales Quinto, Décimo cuarto, Décimo sexto, Vigésimo quinto, Trigésimo octavo, incisos f y p, de los Lineamientos.</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REINTEGRO DE LOS RECURSOS. En caso de que "EL GOBIERNO DEL ESTADO" no erogue los recursos federales asignados, los recursos remanentes o saldos disponibles que presente al 31 de agosto</w:t>
      </w:r>
    </w:p>
    <w:p w:rsidR="00000000" w:rsidDel="00000000" w:rsidP="00000000" w:rsidRDefault="00000000" w:rsidRPr="00000000" w14:paraId="00000088">
      <w:pPr>
        <w:shd w:fill="ffffff" w:val="clear"/>
        <w:spacing w:after="100" w:lineRule="auto"/>
        <w:jc w:val="both"/>
        <w:rPr>
          <w:color w:val="2f2f2f"/>
          <w:sz w:val="18"/>
          <w:szCs w:val="18"/>
        </w:rPr>
      </w:pPr>
      <w:r w:rsidDel="00000000" w:rsidR="00000000" w:rsidRPr="00000000">
        <w:rPr>
          <w:color w:val="2f2f2f"/>
          <w:sz w:val="18"/>
          <w:szCs w:val="18"/>
          <w:rtl w:val="0"/>
        </w:rPr>
        <w:t xml:space="preserve">de 2021, deberá de notificarlo por escrito a la UERSJL de "LA SECRETARÍA" a más tardar el 15 de septiembre de 2021,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30 de septiembre de 2021, a través de los medios señalados en los Lineamientos.</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GOBIERNO DEL ESTADO" estará obligado a reintegrar a la Tesorería de la Federación aquellos recursos que no sean aplicados a los fines para los que le fueron autorizados.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reintegro de los recursos a la Tesorería de la Federación se regirá conforme a lo dispuesto en el capítulo X de los Lineamientos, la LFPRH, el RLFPRH y las demás disposiciones aplicables en la materia.</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 </w:t>
      </w:r>
      <w:r w:rsidDel="00000000" w:rsidR="00000000" w:rsidRPr="00000000">
        <w:rPr>
          <w:color w:val="2f2f2f"/>
          <w:sz w:val="18"/>
          <w:szCs w:val="18"/>
          <w:rtl w:val="0"/>
        </w:rPr>
        <w:t xml:space="preserve">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 </w:t>
      </w:r>
      <w:r w:rsidDel="00000000" w:rsidR="00000000" w:rsidRPr="00000000">
        <w:rPr>
          <w:color w:val="2f2f2f"/>
          <w:sz w:val="18"/>
          <w:szCs w:val="18"/>
          <w:rtl w:val="0"/>
        </w:rPr>
        <w:t xml:space="preserve">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TERCERA. </w:t>
      </w:r>
      <w:r w:rsidDel="00000000" w:rsidR="00000000" w:rsidRPr="00000000">
        <w:rPr>
          <w:color w:val="2f2f2f"/>
          <w:sz w:val="18"/>
          <w:szCs w:val="18"/>
          <w:rtl w:val="0"/>
        </w:rPr>
        <w:t xml:space="preserve">FISCALIZACIÓN.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CUARTA. </w:t>
      </w:r>
      <w:r w:rsidDel="00000000" w:rsidR="00000000" w:rsidRPr="00000000">
        <w:rPr>
          <w:color w:val="2f2f2f"/>
          <w:sz w:val="18"/>
          <w:szCs w:val="18"/>
          <w:rtl w:val="0"/>
        </w:rPr>
        <w:t xml:space="preserve">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QUINTA. </w:t>
      </w:r>
      <w:r w:rsidDel="00000000" w:rsidR="00000000" w:rsidRPr="00000000">
        <w:rPr>
          <w:color w:val="2f2f2f"/>
          <w:sz w:val="18"/>
          <w:szCs w:val="18"/>
          <w:rtl w:val="0"/>
        </w:rPr>
        <w:t xml:space="preserve">MODIFICACIONES O ADICIONES.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cambios a los Convenios de Coordinación que "EL GOBIERNO DEL ESTADO" pretenda realizar solo podrán llevarse a cabo bajo los siguientes supuestos:</w:t>
      </w:r>
    </w:p>
    <w:p w:rsidR="00000000" w:rsidDel="00000000" w:rsidP="00000000" w:rsidRDefault="00000000" w:rsidRPr="00000000" w14:paraId="0000009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adición o eliminación de algún rubro en los Proyectos; y</w:t>
      </w:r>
    </w:p>
    <w:p w:rsidR="00000000" w:rsidDel="00000000" w:rsidP="00000000" w:rsidRDefault="00000000" w:rsidRPr="00000000" w14:paraId="0000009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modificación de los montos destinados a cada rubro de los diferentes Proyectos.</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deberán contemplar los objetivos establecidos en la Solicitud de acceso al subsidio.</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Convenios Modificatorios deberán presentarse al Comité para su evaluación y, de ser el caso, para la aprobación de los cambios a los Proyectos. En caso de ser aprobado y de haberse publicado previamente un Convenio de Coordinación en el DOF, las modificaciones se publicarán en un plazo no mayor a 20 días hábiles a partir de su suscripción.</w:t>
      </w:r>
    </w:p>
    <w:p w:rsidR="00000000" w:rsidDel="00000000" w:rsidP="00000000" w:rsidRDefault="00000000" w:rsidRPr="00000000" w14:paraId="0000009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SEXTA. </w:t>
      </w:r>
      <w:r w:rsidDel="00000000" w:rsidR="00000000" w:rsidRPr="00000000">
        <w:rPr>
          <w:color w:val="2f2f2f"/>
          <w:sz w:val="18"/>
          <w:szCs w:val="18"/>
          <w:rtl w:val="0"/>
        </w:rPr>
        <w:t xml:space="preserve">TERMINACIÓN ANTICIPADA. El presente Convenio de Coordinación podrá darse por terminado anticipadamente, cuando se presente alguno de los siguientes supuestos:</w:t>
      </w:r>
    </w:p>
    <w:p w:rsidR="00000000" w:rsidDel="00000000" w:rsidP="00000000" w:rsidRDefault="00000000" w:rsidRPr="00000000" w14:paraId="0000009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9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subsanen las inconsistencias que haya detectado "LA SECRETARÍA" a través de la UERSJL en los reportes trimestrales que presente "EL GOBIERNO DEL ESTADO".</w:t>
      </w:r>
    </w:p>
    <w:p w:rsidR="00000000" w:rsidDel="00000000" w:rsidP="00000000" w:rsidRDefault="00000000" w:rsidRPr="00000000" w14:paraId="0000009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000000" w:rsidDel="00000000" w:rsidP="00000000" w:rsidRDefault="00000000" w:rsidRPr="00000000" w14:paraId="0000009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SÉPTIMA. </w:t>
      </w:r>
      <w:r w:rsidDel="00000000" w:rsidR="00000000" w:rsidRPr="00000000">
        <w:rPr>
          <w:color w:val="2f2f2f"/>
          <w:sz w:val="18"/>
          <w:szCs w:val="18"/>
          <w:rtl w:val="0"/>
        </w:rPr>
        <w:t xml:space="preserve">VIGENCIA. El presente Convenio entrará en vigor a partir del día de su firma y permanecerá vigente hasta el 16 de octubre de 2021.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9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OCTAVA. </w:t>
      </w:r>
      <w:r w:rsidDel="00000000" w:rsidR="00000000" w:rsidRPr="00000000">
        <w:rPr>
          <w:color w:val="2f2f2f"/>
          <w:sz w:val="18"/>
          <w:szCs w:val="18"/>
          <w:rtl w:val="0"/>
        </w:rPr>
        <w:t xml:space="preserve">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NOVENA. </w:t>
      </w:r>
      <w:r w:rsidDel="00000000" w:rsidR="00000000" w:rsidRPr="00000000">
        <w:rPr>
          <w:color w:val="2f2f2f"/>
          <w:sz w:val="18"/>
          <w:szCs w:val="18"/>
          <w:rtl w:val="0"/>
        </w:rPr>
        <w:t xml:space="preserve">TRANSPARENCIA. "LAS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A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0A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00000" w:rsidDel="00000000" w:rsidP="00000000" w:rsidRDefault="00000000" w:rsidRPr="00000000" w14:paraId="000000A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000000" w:rsidDel="00000000" w:rsidP="00000000" w:rsidRDefault="00000000" w:rsidRPr="00000000" w14:paraId="000000A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Leído y ratificado el presente instrumento jurídico y enteradas las partes de su contenido, alcance y fuerza legal, lo suscriben en 5 ejemplares en la Ciudad de México a los veintisiete días del mes de mayo de dos mil veintiuno.- Poder Ejecutivo, STPS: el Titular de la Unidad de Enlace para la Reforma al Sistema de Justicia</w:t>
      </w:r>
    </w:p>
    <w:p w:rsidR="00000000" w:rsidDel="00000000" w:rsidP="00000000" w:rsidRDefault="00000000" w:rsidRPr="00000000" w14:paraId="000000A4">
      <w:pPr>
        <w:shd w:fill="ffffff" w:val="clear"/>
        <w:spacing w:after="80" w:lineRule="auto"/>
        <w:jc w:val="both"/>
        <w:rPr>
          <w:color w:val="2f2f2f"/>
          <w:sz w:val="18"/>
          <w:szCs w:val="18"/>
        </w:rPr>
      </w:pPr>
      <w:r w:rsidDel="00000000" w:rsidR="00000000" w:rsidRPr="00000000">
        <w:rPr>
          <w:color w:val="2f2f2f"/>
          <w:sz w:val="18"/>
          <w:szCs w:val="18"/>
          <w:rtl w:val="0"/>
        </w:rPr>
        <w:t xml:space="preserve">Laboral, </w:t>
      </w:r>
      <w:r w:rsidDel="00000000" w:rsidR="00000000" w:rsidRPr="00000000">
        <w:rPr>
          <w:b w:val="1"/>
          <w:color w:val="2f2f2f"/>
          <w:sz w:val="18"/>
          <w:szCs w:val="18"/>
          <w:rtl w:val="0"/>
        </w:rPr>
        <w:t xml:space="preserve">Esteban Martínez Mejía</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Gobierno del Estado: el Titular de la Secretaría de Gobierno, Dr. </w:t>
      </w:r>
      <w:r w:rsidDel="00000000" w:rsidR="00000000" w:rsidRPr="00000000">
        <w:rPr>
          <w:b w:val="1"/>
          <w:color w:val="2f2f2f"/>
          <w:sz w:val="18"/>
          <w:szCs w:val="18"/>
          <w:rtl w:val="0"/>
        </w:rPr>
        <w:t xml:space="preserve">Jorge Arturo Contreras Castillo</w:t>
      </w:r>
      <w:r w:rsidDel="00000000" w:rsidR="00000000" w:rsidRPr="00000000">
        <w:rPr>
          <w:color w:val="2f2f2f"/>
          <w:sz w:val="18"/>
          <w:szCs w:val="18"/>
          <w:rtl w:val="0"/>
        </w:rPr>
        <w:t xml:space="preserve">.- Rúbrica.- La Titular de la Secretaría del Trabajo y Previsión Social, Lic. </w:t>
      </w:r>
      <w:r w:rsidDel="00000000" w:rsidR="00000000" w:rsidRPr="00000000">
        <w:rPr>
          <w:b w:val="1"/>
          <w:color w:val="2f2f2f"/>
          <w:sz w:val="18"/>
          <w:szCs w:val="18"/>
          <w:rtl w:val="0"/>
        </w:rPr>
        <w:t xml:space="preserve">Catalina Saarvelia Portillo Navarro</w:t>
      </w:r>
      <w:r w:rsidDel="00000000" w:rsidR="00000000" w:rsidRPr="00000000">
        <w:rPr>
          <w:color w:val="2f2f2f"/>
          <w:sz w:val="18"/>
          <w:szCs w:val="18"/>
          <w:rtl w:val="0"/>
        </w:rPr>
        <w:t xml:space="preserve">.- Rúbrica.- La Titular de la Secretaría de Finanzas y Planeación, Dra. </w:t>
      </w:r>
      <w:r w:rsidDel="00000000" w:rsidR="00000000" w:rsidRPr="00000000">
        <w:rPr>
          <w:b w:val="1"/>
          <w:color w:val="2f2f2f"/>
          <w:sz w:val="18"/>
          <w:szCs w:val="18"/>
          <w:rtl w:val="0"/>
        </w:rPr>
        <w:t xml:space="preserve">Yohanet Teódula Torres Muñoz</w:t>
      </w:r>
      <w:r w:rsidDel="00000000" w:rsidR="00000000" w:rsidRPr="00000000">
        <w:rPr>
          <w:color w:val="2f2f2f"/>
          <w:sz w:val="18"/>
          <w:szCs w:val="18"/>
          <w:rtl w:val="0"/>
        </w:rPr>
        <w:t xml:space="preserve">.- Rúbrica.- El Presidente el Tribunal Superior de Justicia y del Consejo de la Judicatura, Magistrado </w:t>
      </w:r>
      <w:r w:rsidDel="00000000" w:rsidR="00000000" w:rsidRPr="00000000">
        <w:rPr>
          <w:b w:val="1"/>
          <w:color w:val="2f2f2f"/>
          <w:sz w:val="18"/>
          <w:szCs w:val="18"/>
          <w:rtl w:val="0"/>
        </w:rPr>
        <w:t xml:space="preserve">José Antonio León Ruíz</w:t>
      </w:r>
      <w:r w:rsidDel="00000000" w:rsidR="00000000" w:rsidRPr="00000000">
        <w:rPr>
          <w:color w:val="2f2f2f"/>
          <w:sz w:val="18"/>
          <w:szCs w:val="18"/>
          <w:rtl w:val="0"/>
        </w:rPr>
        <w:t xml:space="preserve">.- Rúbrica.</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