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cupo para importar carne de res bajo el arancel-cupo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de la Ley Orgánica de la Administración Pública Federal; 4o. fracción III, 5o. fracciones III y V, 17, 20, 23 y 24 de la Ley de Comercio Exterior; 26 del Reglamento de la Ley de Comercio Exterior; y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el cual se establece la Tarifa arancelaria aplicable a la importación y exportación de mercancías en territorio nacional, la cual ha sido modificada mediante diversos publicados en el mismo órgano de difusión oficial el 24 de diciembre de 2020 y el 22 de febrero de 2021.</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y ha sido modificado mediante diversos publicados en el mismo órgano de difusión oficial el 27 de diciembre de 2020 y el 23 de febrero de 2021.</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2012-2020, con el objeto de facilitar la aplicación de la nomenclatura arancelaria, mismo que fue modificado mediante diverso publicado en el mismo órgano de difusión oficial el 27 de diciembre de 2020.</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con el objeto, entre otros, de establecer el arancel -cupo aplicable a las fracciones arancelarias </w:t>
      </w:r>
      <w:r w:rsidDel="00000000" w:rsidR="00000000" w:rsidRPr="00000000">
        <w:rPr>
          <w:sz w:val="18"/>
          <w:szCs w:val="18"/>
          <w:rtl w:val="0"/>
        </w:rPr>
        <w:t xml:space="preserve">0201.10.01, 0201.20.99, 0201.30.01, 0202.10.01, 0202.20.99 y 0202.30.01, correspondientes a carne de bovino fresca, refrigerada y congelada (c</w:t>
      </w:r>
      <w:r w:rsidDel="00000000" w:rsidR="00000000" w:rsidRPr="00000000">
        <w:rPr>
          <w:color w:val="2f2f2f"/>
          <w:sz w:val="18"/>
          <w:szCs w:val="18"/>
          <w:rtl w:val="0"/>
        </w:rPr>
        <w:t xml:space="preserve">arne de res), cuando el importador cuente con certificado de cupo expedido por la Secretaría de Economía.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arancel-cupo mencionado fue establecido con el objeto de contar con mecanismos que permitan actuar con oportunidad ante situaciones que puedan afectar la disponibilidad y acceso al producto antes señalado, para garantizar el abasto y proteger el ingreso de las familias mexicanas, contribuyendo a la estabilidad del mercado nacional en beneficio de los consumidores.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acuerdo con información del Instituto Nacional de Estadística y Geografía (INEGI), el Índice Nacional de Precios al Consumidor (INPC) de la carne de res presentó tasas de inflación mensual anualizada, con tasas superiores a las observadas desde el 2017, en el periodo diciembre 2020 - abril 2021 (5.4% en diciembre de 2020; 6.0% en enero, 6.9% en febrero, 8.0% en marzo y 8.3% en abril de 2021), lo anterior debido principalmente a la reducción de la disponibilidad por el crecimiento de las exportaciones de carne de res a los Estados Unidos de América, la caída en el nivel de las importaciones y presiones por el incremento del precio del maíz.</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necesario ofrecer a la industria alimentaria nacional acceso a las mejores oportunidades disponibles en los mercados internacionales a fin de abatir costos y con ello propiciar su competitividad y mejores precios al consumidor final, por lo que es imprescindible establecer un nivel arancelario preferencial para la carne de res.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corresponde a la Secretaría de Economía formular y conducir las políticas generales de industria, comercio exterior, interior, abasto y precios del país, por lo que, resulta necesario establecer un cupo para importar carne de res, con la finalidad de coadyuvar al abasto, la estabilidad de precios en el mercado y a la no erosión del incremento salarial.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señalado por la Ley de Comercio Exterior, las disposiciones a las que se refiere el presente instrumento fueron sometidas a la consideración de la Comisión de Comercio Exterior y opinadas</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por la misma, por lo que se expide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CUPO PARA IMPORTAR CARNE DE RES BAJO EL</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ARANCEL-CUPO QUE SE INDICA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establece un cupo para importar al 31 de diciembre de 2021, carne de bovino fresca, refrigerada y congelada (carne de res) con el arancel-cupo establecido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 como se indica en la siguiente tabla: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1080"/>
        <w:gridCol w:w="4335"/>
        <w:gridCol w:w="1635"/>
        <w:tblGridChange w:id="0">
          <w:tblGrid>
            <w:gridCol w:w="1755"/>
            <w:gridCol w:w="1080"/>
            <w:gridCol w:w="4335"/>
            <w:gridCol w:w="1635"/>
          </w:tblGrid>
        </w:tblGridChange>
      </w:tblGrid>
      <w:tr>
        <w:trPr>
          <w:trHeight w:val="7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16">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Descripción NICO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Monto</w:t>
            </w:r>
          </w:p>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(toneladas)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sz w:val="18"/>
                <w:szCs w:val="18"/>
              </w:rPr>
            </w:pPr>
            <w:r w:rsidDel="00000000" w:rsidR="00000000" w:rsidRPr="00000000">
              <w:rPr>
                <w:sz w:val="18"/>
                <w:szCs w:val="18"/>
                <w:rtl w:val="0"/>
              </w:rPr>
              <w:t xml:space="preserve">0201.10.01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En canales o medias canales.</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7,000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0201.20.99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Los demás cortes (trozos) sin deshuesar.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80" w:firstLine="0"/>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center"/>
              <w:rPr>
                <w:sz w:val="18"/>
                <w:szCs w:val="18"/>
              </w:rPr>
            </w:pPr>
            <w:r w:rsidDel="00000000" w:rsidR="00000000" w:rsidRPr="00000000">
              <w:rPr>
                <w:sz w:val="18"/>
                <w:szCs w:val="18"/>
                <w:rtl w:val="0"/>
              </w:rPr>
              <w:t xml:space="preserve">0201.30.01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80" w:firstLine="0"/>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center"/>
              <w:rPr>
                <w:sz w:val="18"/>
                <w:szCs w:val="18"/>
              </w:rPr>
            </w:pPr>
            <w:r w:rsidDel="00000000" w:rsidR="00000000" w:rsidRPr="00000000">
              <w:rPr>
                <w:sz w:val="18"/>
                <w:szCs w:val="18"/>
                <w:rtl w:val="0"/>
              </w:rPr>
              <w:t xml:space="preserve">0202.10.01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En canales o medias canales.</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center"/>
              <w:rPr>
                <w:sz w:val="18"/>
                <w:szCs w:val="18"/>
              </w:rPr>
            </w:pPr>
            <w:r w:rsidDel="00000000" w:rsidR="00000000" w:rsidRPr="00000000">
              <w:rPr>
                <w:sz w:val="18"/>
                <w:szCs w:val="18"/>
                <w:rtl w:val="0"/>
              </w:rPr>
              <w:t xml:space="preserve">0202.20.99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Los demás cortes (trozos) sin deshuesar.</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80" w:firstLine="0"/>
              <w:jc w:val="both"/>
              <w:rPr>
                <w:color w:val="2f2f2f"/>
                <w:sz w:val="18"/>
                <w:szCs w:val="18"/>
              </w:rPr>
            </w:pPr>
            <w:r w:rsidDel="00000000" w:rsidR="00000000" w:rsidRPr="00000000">
              <w:rPr>
                <w:rtl w:val="0"/>
              </w:rPr>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sz w:val="18"/>
                <w:szCs w:val="18"/>
              </w:rPr>
            </w:pPr>
            <w:r w:rsidDel="00000000" w:rsidR="00000000" w:rsidRPr="00000000">
              <w:rPr>
                <w:sz w:val="18"/>
                <w:szCs w:val="18"/>
                <w:rtl w:val="0"/>
              </w:rPr>
              <w:t xml:space="preserve">0202.30.01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center"/>
              <w:rPr>
                <w:sz w:val="18"/>
                <w:szCs w:val="18"/>
              </w:rPr>
            </w:pPr>
            <w:r w:rsidDel="00000000" w:rsidR="00000000" w:rsidRPr="00000000">
              <w:rPr>
                <w:sz w:val="18"/>
                <w:szCs w:val="18"/>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Deshuesada.</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cupo a que se refiere el punto Primero del presente Acuerdo se asignará bajo el procedimiento de asignación directa en su modalidad de "Primero en tiempo, Primero en derecho".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Podrán solicitar la asignación del cupo previsto en el punto Primero del presente Acuerdo, las personas físicas y morales establecidas en los Estados Unidos Mexicanos.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procedimiento de asignación directa en la modalidad de "Primero en tiempo, Primero en derecho" se efectuará conforme a los siguientes criterios: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a expedir será el que resulte menor entre:</w:t>
      </w:r>
    </w:p>
    <w:p w:rsidR="00000000" w:rsidDel="00000000" w:rsidP="00000000" w:rsidRDefault="00000000" w:rsidRPr="00000000" w14:paraId="0000003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solicitada;</w:t>
      </w:r>
    </w:p>
    <w:p w:rsidR="00000000" w:rsidDel="00000000" w:rsidP="00000000" w:rsidRDefault="00000000" w:rsidRPr="00000000" w14:paraId="0000003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indicado en la factura comercial;</w:t>
      </w:r>
    </w:p>
    <w:p w:rsidR="00000000" w:rsidDel="00000000" w:rsidP="00000000" w:rsidRDefault="00000000" w:rsidRPr="00000000" w14:paraId="0000003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2,000 toneladas, o</w:t>
      </w:r>
    </w:p>
    <w:p w:rsidR="00000000" w:rsidDel="00000000" w:rsidP="00000000" w:rsidRDefault="00000000" w:rsidRPr="00000000" w14:paraId="0000003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saldo del cupo.</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asignaciones subsecuentes de cupo, se deberá acreditar el ejercicio total de por lo menos una de las asignaciones otorgadas anteriormente, adjuntando copia de los pedimentos de importación correspondientes.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acumulada que podrá asignarse a un beneficiario será de hasta el 25% del cupo.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Los interesados en la obtención del cupo a que se refiere el presente Acuerdo deberán presentar el trámite de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 adjuntando digitalizada la factura comercial del producto a importar y la firma electrónica (e.firma) del interesado.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Secretaría de Economía determine que se han cumplido los requisitos a que se refiere el párrafo anterior, emitirá la "Constancia de Registro de Asignación de cupo" dentro de los tres días hábiles siguientes a la presentación de la solicitud del trámite, el cual tendrá una vigencia del periodo comprendido a partir de la fecha de expedición y hasta el 31 de diciembre de 2021.</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beneficiarios del cupo deberán presentar en un plazo máximo de veinte días hábiles, contados a partir de la fecha de su autorización, copia del conocimiento de embarque, guía aérea o carta de porte,</w:t>
      </w:r>
    </w:p>
    <w:p w:rsidR="00000000" w:rsidDel="00000000" w:rsidP="00000000" w:rsidRDefault="00000000" w:rsidRPr="00000000" w14:paraId="00000041">
      <w:pPr>
        <w:shd w:fill="ffffff" w:val="clear"/>
        <w:spacing w:after="100" w:lineRule="auto"/>
        <w:jc w:val="both"/>
        <w:rPr>
          <w:color w:val="2f2f2f"/>
          <w:sz w:val="18"/>
          <w:szCs w:val="18"/>
        </w:rPr>
      </w:pPr>
      <w:r w:rsidDel="00000000" w:rsidR="00000000" w:rsidRPr="00000000">
        <w:rPr>
          <w:color w:val="2f2f2f"/>
          <w:sz w:val="18"/>
          <w:szCs w:val="18"/>
          <w:rtl w:val="0"/>
        </w:rPr>
        <w:t xml:space="preserve">correspondiente al monto autorizado de lo contrario su certificado será cancelado. La información deberá ser enviada a la siguiente dirección de correo electrónico dgce.cupos@economia.gob.mx.</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asignaciones subsecuentes de cupo el interesado deberá presentar el trámite de "Ampliación de monto"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el solicitante de asignación subsecuente de cupo cuente con el "Acuse de Recepción de Trámite" generado por la Ventanilla Digital Mexicana de Comercio Exterior, deberá enviarlo el mismo día a la dirección de correo electrónico dgce.cupos@economia.gob.mx, con la factura comercial a que se refiere el inciso b) de la fracción I del punto Cuarto del presente Acuerdo.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poder autorizar asignaciones subsecuentes de cupo cuando el solicitante haya sido beneficiario de tres asignaciones de cupo deberá demostrar el ejercicio total de por lo menos una de las asignaciones otorgadas anteriormente y enviar los pedimentos de importación, a que se refiere la fracción II del punto Cuarto del presente Acuerdo, a la dirección de correo electrónico dgce.cupos@economia.gob.mx, de forma tal que, durante el periodo de vigencia de los cupos, los beneficiarios no cuenten con más de dos asignaciones sin comprobar.</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objeto de garantizar la equidad en la asignación del cupo, el horario para la presentación de solicitudes a través de la Ventanilla Digital Mexicana de Comercio Exterior en la </w:t>
      </w:r>
      <w:r w:rsidDel="00000000" w:rsidR="00000000" w:rsidRPr="00000000">
        <w:rPr>
          <w:sz w:val="18"/>
          <w:szCs w:val="18"/>
          <w:rtl w:val="0"/>
        </w:rPr>
        <w:t xml:space="preserve">dirección electrónica </w:t>
      </w:r>
      <w:r w:rsidDel="00000000" w:rsidR="00000000" w:rsidRPr="00000000">
        <w:rPr>
          <w:color w:val="2f2f2f"/>
          <w:sz w:val="18"/>
          <w:szCs w:val="18"/>
          <w:rtl w:val="0"/>
        </w:rPr>
        <w:t xml:space="preserve">www.ventanillaunica.gob.mx, será a partir de las 11:00 horas (tiempo de la Zona del Centro de México) del día hábil siguiente al de la entrada en vigor del presente Acuerdo; a partir de ese momento la Ventanilla Digital Mexicana de Comercio Exterior estará disponible las 24 horas del día y en días hábiles.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que se presenten ante las Oficinas de Representación en las entidades federativas de la Secretaría de Economía que corresponda al domicilio del interesado, podrán ser presentadas a partir de las 11:00 horas (tiempo de la Zona del Centro de México) del día hábil siguiente al de la entrada en vigor del presente Acuerdo; a partir de ese momento los días de recepción serán únicamente los días martes, jueves y viernes (en días hábiles) de las 9:00 a las 12:00 horas, hora local de la entidad federativa que corresponda.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Una vez autorizada la "Constancia de Registro de Asignación de cupo", el interesado deberá presentar el trámite de "Expedición de Certificados de cupo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SE-FO-03-013-5 "Solicitud de certificados de cupo (Obtenido por asignación directa)". La Secretaría de Economía expedirá el certificado de cupo a más tardar en los dos días hábiles siguientes a la fecha de ingreso de la solicitud.</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Los certificados de cupo a que se refiere este Acuerdo son nominativos, intransferibles e improrrogables y su vigencia será de sesenta días naturales contados a partir de la fecha de expedición, o al 31 de diciembre de 2021, lo que ocurra primero.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En caso de que al término de la vigencia de los certificados de cupo existan saldos no ejercidos, conforme a las cifras de la Administración General de Aduanas del Servicio de Administración Tributaria, éstos se integrarán al saldo del cupo para reasignarse durante el periodo de vigencia del cupo en los términos del presente Acuerdo.</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Los formatos a que se refiere el presente Acuerdo estarán a disposición de los interesados en las Oficinas de Representación en las entidades federativas de la Secretaría de Economía y en la página electrónica https://catalogonacional.gob.mx.</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Los certificados de cupo expedidos al amparo del presente Acuerdo no eximen del cumplimiento de otros requisitos y demás regulaciones y restricciones no arancelarias aplicables a las mercancías en la aduana de despacho.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La información referente a la evolución de las solicitudes y autorizaciones a que se refiere este Acuerdo será publicada en el apartado de Transparencia disponible en el portal electrónico sobre facilitación comercial, del Servicio Nacional de Información de Comercio Exterior (SNICE), en la página electrónica: https://www.snice.gob.mx/cs/avi/snice/transparenciacomercioexterior.html.</w:t>
      </w:r>
    </w:p>
    <w:p w:rsidR="00000000" w:rsidDel="00000000" w:rsidP="00000000" w:rsidRDefault="00000000" w:rsidRPr="00000000" w14:paraId="0000004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de su publicación en el Diario Oficial de la</w:t>
      </w:r>
    </w:p>
    <w:p w:rsidR="00000000" w:rsidDel="00000000" w:rsidP="00000000" w:rsidRDefault="00000000" w:rsidRPr="00000000" w14:paraId="0000004F">
      <w:pPr>
        <w:shd w:fill="ffffff" w:val="clear"/>
        <w:spacing w:after="100" w:lineRule="auto"/>
        <w:jc w:val="both"/>
        <w:rPr>
          <w:color w:val="2f2f2f"/>
          <w:sz w:val="18"/>
          <w:szCs w:val="18"/>
        </w:rPr>
      </w:pPr>
      <w:r w:rsidDel="00000000" w:rsidR="00000000" w:rsidRPr="00000000">
        <w:rPr>
          <w:color w:val="2f2f2f"/>
          <w:sz w:val="18"/>
          <w:szCs w:val="18"/>
          <w:rtl w:val="0"/>
        </w:rPr>
        <w:t xml:space="preserve">Federación.</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junio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