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18"/>
          <w:szCs w:val="18"/>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t>D</w:t>
      </w:r>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t>ecreto</w:t>
      </w:r>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t> por el que se expide la Ley de Ingresos de la Federación para el Ejercicio Fiscal de 2023</w:t>
      </w:r>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t>(DOF 14</w:t>
      </w:r>
      <w:bookmarkStart w:id="0" w:name="_GoBack"/>
      <w:bookmarkEnd w:id="0"/>
      <w:r>
        <w:rPr>
          <w:rFonts w:hint="default" w:ascii="Verdana Regular" w:hAnsi="Verdana Regular" w:eastAsia="Times" w:cs="Verdana Regular"/>
          <w:b/>
          <w:bCs/>
          <w:i w:val="0"/>
          <w:iCs w:val="0"/>
          <w:caps w:val="0"/>
          <w:color w:val="5B9BD5" w:themeColor="accent1"/>
          <w:spacing w:val="0"/>
          <w:sz w:val="18"/>
          <w:szCs w:val="18"/>
          <w:shd w:val="clear" w:fill="FFFFFF"/>
          <w14:textFill>
            <w14:solidFill>
              <w14:schemeClr w14:val="accent1"/>
            </w14:solidFill>
          </w14:textFill>
        </w:rPr>
        <w:t xml:space="preserve">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18"/>
          <w:szCs w:val="18"/>
        </w:rPr>
      </w:pPr>
      <w:r>
        <w:rPr>
          <w:rFonts w:hint="default" w:ascii="Verdana Regular" w:hAnsi="Verdana Regular" w:cs="Verdana Regular"/>
          <w:i w:val="0"/>
          <w:iCs w:val="0"/>
          <w:caps w:val="0"/>
          <w:color w:val="2F2F2F"/>
          <w:spacing w:val="0"/>
          <w:sz w:val="18"/>
          <w:szCs w:val="18"/>
          <w:shd w:val="clear" w:fill="FFFFFF"/>
        </w:rPr>
        <w:t>Al margen un sello con el Escudo Nacional, que dice: Estados Unidos Mexicanos.- Presidencia de la</w:t>
      </w:r>
      <w:r>
        <w:rPr>
          <w:rFonts w:hint="default" w:ascii="Verdana Regular" w:hAnsi="Verdana Regular" w:cs="Verdana Regular"/>
          <w:i w:val="0"/>
          <w:iCs w:val="0"/>
          <w:caps w:val="0"/>
          <w:color w:val="2F2F2F"/>
          <w:spacing w:val="0"/>
          <w:sz w:val="18"/>
          <w:szCs w:val="18"/>
          <w:shd w:val="clear" w:fill="FFFFFF"/>
        </w:rPr>
        <w:t>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18"/>
          <w:szCs w:val="18"/>
        </w:rPr>
      </w:pPr>
      <w:r>
        <w:rPr>
          <w:rFonts w:hint="default" w:ascii="Verdana Regular" w:hAnsi="Verdana Regular" w:eastAsia="Times" w:cs="Verdana Regular"/>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6"/>
          <w:szCs w:val="16"/>
        </w:rPr>
      </w:pPr>
      <w:r>
        <w:rPr>
          <w:rFonts w:hint="default" w:ascii="Verdana Regular" w:hAnsi="Verdana Regular" w:eastAsia="SimSun" w:cs="Verdana Regular"/>
          <w:b/>
          <w:bCs/>
          <w:i w:val="0"/>
          <w:iCs w:val="0"/>
          <w:caps w:val="0"/>
          <w:color w:val="2F2F2F"/>
          <w:spacing w:val="0"/>
          <w:kern w:val="0"/>
          <w:sz w:val="16"/>
          <w:szCs w:val="16"/>
          <w:shd w:val="clear" w:fill="FFFFFF"/>
          <w:lang w:val="en-US" w:eastAsia="zh-CN" w:bidi="ar"/>
        </w:rPr>
        <w:t>"</w:t>
      </w:r>
      <w:r>
        <w:rPr>
          <w:rFonts w:hint="default" w:ascii="Verdana Regular" w:hAnsi="Verdana Regular" w:eastAsia="SimSun" w:cs="Verdana Regular"/>
          <w:i w:val="0"/>
          <w:iCs w:val="0"/>
          <w:caps w:val="0"/>
          <w:color w:val="2F2F2F"/>
          <w:spacing w:val="0"/>
          <w:kern w:val="0"/>
          <w:sz w:val="16"/>
          <w:szCs w:val="16"/>
          <w:shd w:val="clear" w:fill="FFFFFF"/>
          <w:lang w:val="en-US" w:eastAsia="zh-CN" w:bidi="ar"/>
        </w:rPr>
        <w:t>EL CONGRESO GENERAL DE LOS ESTADOS UNIDOS MEXICANOS DECRETA: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6"/>
          <w:szCs w:val="16"/>
        </w:rPr>
      </w:pPr>
      <w:r>
        <w:rPr>
          <w:rFonts w:hint="default" w:ascii="Verdana Regular" w:hAnsi="Verdana Regular" w:eastAsia="SimSun" w:cs="Verdana Regular"/>
          <w:b/>
          <w:bCs/>
          <w:i w:val="0"/>
          <w:iCs w:val="0"/>
          <w:caps w:val="0"/>
          <w:color w:val="2F2F2F"/>
          <w:spacing w:val="0"/>
          <w:kern w:val="0"/>
          <w:sz w:val="16"/>
          <w:szCs w:val="16"/>
          <w:shd w:val="clear" w:fill="FFFFFF"/>
          <w:lang w:val="en-US" w:eastAsia="zh-CN" w:bidi="ar"/>
        </w:rPr>
        <w:t>SE EXPIDE LA LEY DE INGRESOS DE LA FEDERACIÓN PARA EL EJERCICIO FISCAL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Único.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expide la Ley de Ingresos de la Federación para el Ejercicio Fiscal de 2023.</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18"/>
          <w:szCs w:val="18"/>
        </w:rPr>
      </w:pPr>
      <w:r>
        <w:rPr>
          <w:rFonts w:hint="default" w:ascii="Verdana Regular" w:hAnsi="Verdana Regular" w:eastAsia="Times" w:cs="Verdana Regular"/>
          <w:b/>
          <w:bCs/>
          <w:i w:val="0"/>
          <w:iCs w:val="0"/>
          <w:caps w:val="0"/>
          <w:color w:val="2F2F2F"/>
          <w:spacing w:val="0"/>
          <w:kern w:val="0"/>
          <w:sz w:val="18"/>
          <w:szCs w:val="18"/>
          <w:shd w:val="clear" w:fill="FFFFFF"/>
          <w:lang w:val="en-US" w:eastAsia="zh-CN" w:bidi="ar"/>
        </w:rPr>
        <w:t>LEY DE INGRESOS DE LA FEDERACIÓN PARA EL EJERCICIO FISCAL DE 2023</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De los Ingresos y el Endeudamiento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En el ejercicio fiscal de 2023, la Federación percibirá los ingresos provenientes de los conceptos y en las cantidades estimadas en millones de pesos que a continuación se enumeran: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1"/>
        <w:gridCol w:w="713"/>
        <w:gridCol w:w="684"/>
        <w:gridCol w:w="705"/>
        <w:gridCol w:w="691"/>
        <w:gridCol w:w="2961"/>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7063" w:type="dxa"/>
            <w:gridSpan w:val="6"/>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CONCEPTO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Ingreso Estimado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7063" w:type="dxa"/>
            <w:gridSpan w:val="6"/>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TOTAL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8,299,647.8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7063" w:type="dxa"/>
            <w:gridSpan w:val="6"/>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1.</w:t>
            </w:r>
          </w:p>
        </w:tc>
        <w:tc>
          <w:tcPr>
            <w:tcW w:w="6180"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Impuestos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4,623,583.1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Sobre los Ingresos: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2,512,233.3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sobre la renta.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2,512,233.3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Sobre el Patrimonio.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13.</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Sobre la Producción, el Consumo y las Transacciones: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1,921,070.7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al valor agregado.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1,419,457.1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especial sobre producción y servicios: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486,212.7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Combustibles automotrices: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278,412.8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Artículo 2o., fracción I, inciso D).</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246,040.4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Artículo 2o.-A.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32,372.4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Bebidas con contenido alcohólico y cerveza: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72,854.9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Bebidas alcohólicas.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26,503.9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Cervezas y bebidas refrescantes.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46,351.0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Tabacos labrados.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50,114.5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Juegos con apuestas y sorteos.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Redes públicas de telecomunicaciones.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Bebidas energetizantes.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07.</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Bebidas saborizadas.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35,555.7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08.</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Alimentos no básicos con alta densidad calórica.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31,876.8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09.</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Plaguicidas.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Combustibles fósiles.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sobre automóviles nuevos.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15,400.9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al Comercio Exterior:</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98,341.9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al comercio exterior:</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98,341.9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 la importación.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98,341.9</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3"/>
        <w:gridCol w:w="720"/>
        <w:gridCol w:w="690"/>
        <w:gridCol w:w="736"/>
        <w:gridCol w:w="3673"/>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 la exportación.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15.</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Sobre Nóminas y Asimilables.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16.</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Ecológicos.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17.</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Accesorios de impuestos: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83,927.6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Accesorios de impuestos.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83,927.6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18.</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 impuestos: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por la actividad de exploración y extracción de hidrocarburos.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 sobre servicios expresamente declarados de interés público por ley, en los que intervengan empresas concesionarias de bienes del dominio directo de la Nación.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19.</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Impuestos no comprendidos en la Ley de Ingresos Vigente, Causados en Ejercicios Fiscales Anteriores Pendientes de Liquidación o Pago.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2.</w:t>
            </w:r>
          </w:p>
        </w:tc>
        <w:tc>
          <w:tcPr>
            <w:tcW w:w="618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Cuotas y Aportaciones de Seguridad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470,845.4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21.</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para Fondos de Vivienda: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y abonos retenidos a trabajadores por patrones para el Fondo Nacional de la Vivienda para los Trabajadores.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22.</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para la Seguridad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470,845.4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para el Seguro Social a cargo de patrones y trabajadores.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470,845.4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23.</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de Ahorro para el Retiro: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del Sistema de Ahorro para el Retiro a cargo de los patrones.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24.</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Otras Cuotas y Aportaciones para la Seguridad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para el Instituto de Seguridad y Servicios Sociales de los Trabajadores del Estado a cargo de los citados trabajadores.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para el Instituto de Seguridad Social para las Fuerzas Armadas Mexicanas a cargo de los militares.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25.</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Accesorios de Cuotas y Aportaciones de Seguridad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7063"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3.</w:t>
            </w:r>
          </w:p>
        </w:tc>
        <w:tc>
          <w:tcPr>
            <w:tcW w:w="618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Contribuciones de Mejoras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31.</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Contribuciones de Mejoras por Obras Públicas: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Contribución de mejoras por obras públicas de infraestructura hidráulica.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39.</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Contribuciones de Mejoras no Comprendidas en la Ley de Ingresos Vigente, Causados en Ejercicios Fiscales Anteriores Pendientes de Liquidación o Pago.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4.</w:t>
            </w:r>
          </w:p>
        </w:tc>
        <w:tc>
          <w:tcPr>
            <w:tcW w:w="618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Derechos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57,193.0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41.</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Derechos por el Uso, Goce, Aprovechamiento o Explotación de Bienes de Dominio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46,184.3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Hacienda y Crédito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la Función Pública.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Economía.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Infraestructura, Comunicaciones y Transportes.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Medio Ambiente y Recursos Naturales.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14,298.5</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7"/>
        <w:gridCol w:w="717"/>
        <w:gridCol w:w="687"/>
        <w:gridCol w:w="709"/>
        <w:gridCol w:w="685"/>
        <w:gridCol w:w="3052"/>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Agricultura y Desarrollo Rural.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07.</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del Trabajo y Previsión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08.</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Educación Pública.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09.</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Instituto Federal de Telecomunicaciones.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19,039.9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Cultura.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Salud.</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Marina.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13.</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Seguridad y Protección Ciudadana.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43.</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Derechos por Prestación de Servicios: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Servicios que presta el Estado en funciones de derecho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Gobernación.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Relaciones Exteriores.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la Defensa Nacional.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Marina.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Hacienda y Crédito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la Función Pública.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07.</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Energía.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08.</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Economía.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09.</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Agricultura y Desarrollo Rural.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Infraestructura, Comunicaciones y Transportes.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Medio Ambiente y Recursos Naturales: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Agencia Nacional de Seguridad Industrial y de Protección al Medio Ambiente del Sector Hidrocarburos.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Educación Pública.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Salud.</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del Trabajo y Previsión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15.</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Desarrollo Agrario, Territorial y Urbano.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16.</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Turismo.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17.</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Instituto Federal de Telecomunicaciones.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18.</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Nacional de Hidrocarburos.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19.</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Reguladora de Energía.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Federal de Competencia Económica.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Cultura.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Seguridad y Protección Ciudadana.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Secretaría de Bienestar.</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44.</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 Derechos.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45.</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Accesorios de Derechos.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49.</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Derechos no Comprendidos en la Ley de Ingresos Vigente, Causados en Ejercicios Fiscales Anteriores Pendientes de Liquidación o Pago.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74" w:hRule="atLeast"/>
        </w:trPr>
        <w:tc>
          <w:tcPr>
            <w:tcW w:w="7063" w:type="dxa"/>
            <w:gridSpan w:val="6"/>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5.</w:t>
            </w:r>
          </w:p>
        </w:tc>
        <w:tc>
          <w:tcPr>
            <w:tcW w:w="6180"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Productos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6,543.6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51.</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Productos: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6,543.6</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1"/>
        <w:gridCol w:w="719"/>
        <w:gridCol w:w="689"/>
        <w:gridCol w:w="711"/>
        <w:gridCol w:w="687"/>
        <w:gridCol w:w="3017"/>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Por los servicios que no correspondan a funciones de derecho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Derivados del uso, aprovechamiento o enajenación de bienes no sujetos al régimen de dominio público: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Explotación de tierras y aguas.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Arrendamiento de tierras, locales y construcciones.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Enajenación de bienes: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Muebles.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Inmuebles.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Intereses de valores, créditos y bonos.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Utilidades: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 organismos descentralizados y empresas de participación estatal.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 Lotería Nacional.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219"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59.</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Productos no Comprendidos en la Ley de Ingresos Vigente, Causados en Ejercicios Fiscales Anteriores Pendientes de Liquidación o Pago.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7063" w:type="dxa"/>
            <w:gridSpan w:val="6"/>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6.</w:t>
            </w:r>
          </w:p>
        </w:tc>
        <w:tc>
          <w:tcPr>
            <w:tcW w:w="6180"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Aprovechamientos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173,554.2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61.</w:t>
            </w:r>
          </w:p>
        </w:tc>
        <w:tc>
          <w:tcPr>
            <w:tcW w:w="5420"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Aprovechamientos: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173,554.2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Multas.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2,687.9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Indemnizaciones.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Reintegros: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Sostenimiento de las escuelas artículo 123.</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Servicio de vigilancia forestal.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Provenientes de obras públicas de infraestructura hidráulica.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 en los ingresos derivados de la aplicación de leyes locales sobre herencias y legados expedidas de acuerdo con la Federación.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 en los ingresos derivados de la aplicación de leyes locales sobre donaciones expedidas de acuerdo con la Federación.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07.</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de los Estados, Municipios y particulares para el servicio del Sistema Escolar Federalizado.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08.</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Cooperación de la Ciudad de México por servicios públicos locales prestados por la Federación.</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4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09.</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Cooperación de los Gobiernos de Estados y Municipios y de particulares para alcantarillado, electrificación, caminos y líneas telegráficas, telefónicas y para otras obras públicas.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w:t>
            </w:r>
          </w:p>
        </w:tc>
        <w:tc>
          <w:tcPr>
            <w:tcW w:w="4694"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5 por ciento de días de cama a cargo de establecimientos particulares para internamiento de enfermos y otros destinados a la Secretaría de Salud.</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7"/>
        <w:gridCol w:w="720"/>
        <w:gridCol w:w="690"/>
        <w:gridCol w:w="712"/>
        <w:gridCol w:w="3714"/>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 a cargo de los concesionarios de vías generales de comunicación y de empresas de abastecimiento de energía eléctrica.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 señaladas por la Ley Federal de Juegos y Sorteos.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13.</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Regalías provenientes de fondos y explotación minera.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14.</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de contratistas de obras públicas.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15.</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Destinados al Fondo para el Desarrollo Forestal: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96"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que efectúen los Gobiernos de la Ciudad de México, Estatales y Municipales, los organismos y entidades públicas, sociales y los particulares.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 las reservas nacionales forestales.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 al Instituto Nacional de Investigaciones Forestales y Agropecuarias.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 conceptos.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16.</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Cuotas Compensatorias.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17.</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Hospitales Militares.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18.</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 por la explotación de obras del dominio público señaladas por la Ley Federal del Derecho de Autor.</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19.</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Provenientes de decomiso y de bienes que pasan a propiedad del Fisco Federal.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20.</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Provenientes del programa de mejoramiento de los medios de informática y de control de las autoridades aduaneras.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No comprendidos en los incisos anteriores provenientes del cumplimiento de convenios celebrados en otros ejercicios.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166,782.0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Remanente de operación del Banco de México.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Utilidades por Recompra de Deuda.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Rendimiento mínimo garantizado.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166,782.0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23.</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Provenientes de servicios en materia energética: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Agencia Nacional de Seguridad Industrial y de Protección al Medio Ambiente del Sector Hidrocarburos.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Nacional de Hidrocarburos.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Reguladora de Energía.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62.</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Aprovechamientos Patrimoniales: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Recuperaciones de capital: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Fondos entregados en fideicomiso, a favor de Entidades Federativas y empresas públicas.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Fondos entregados en fideicomiso, a favor de empresas privadas y a particulares.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Inversiones en obras de agua potable y alcantarillado.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Desincorporaciones.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63.</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Accesorios de Aprovechamientos.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2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69.</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Aprovechamientos no Comprendidos en la Ley de Ingresos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2"/>
        <w:gridCol w:w="725"/>
        <w:gridCol w:w="694"/>
        <w:gridCol w:w="4359"/>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883" w:type="dxa"/>
            <w:shd w:val="clear"/>
            <w:tcMar>
              <w:left w:w="72" w:type="dxa"/>
              <w:right w:w="72" w:type="dxa"/>
            </w:tcMar>
            <w:vAlign w:val="top"/>
          </w:tcPr>
          <w:p>
            <w:pPr>
              <w:rPr>
                <w:rFonts w:hint="default" w:ascii="Verdana Regular" w:hAnsi="Verdana Regular" w:cs="Verdana Regular"/>
                <w:sz w:val="24"/>
                <w:szCs w:val="24"/>
              </w:rPr>
            </w:pPr>
          </w:p>
        </w:tc>
        <w:tc>
          <w:tcPr>
            <w:tcW w:w="760" w:type="dxa"/>
            <w:shd w:val="clear"/>
            <w:tcMar>
              <w:left w:w="72" w:type="dxa"/>
              <w:right w:w="72" w:type="dxa"/>
            </w:tcMar>
            <w:vAlign w:val="top"/>
          </w:tcPr>
          <w:p>
            <w:pPr>
              <w:rPr>
                <w:rFonts w:hint="default" w:ascii="Verdana Regular" w:hAnsi="Verdana Regular" w:cs="Verdana Regular"/>
                <w:sz w:val="24"/>
                <w:szCs w:val="24"/>
              </w:rPr>
            </w:pP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Vigente, Causados en Ejercicios Fiscales Anteriores Pendientes de Liquidación o Pago.</w:t>
            </w:r>
          </w:p>
        </w:tc>
        <w:tc>
          <w:tcPr>
            <w:tcW w:w="1923" w:type="dxa"/>
            <w:shd w:val="clear"/>
            <w:tcMar>
              <w:left w:w="72" w:type="dxa"/>
              <w:right w:w="72" w:type="dxa"/>
            </w:tcMar>
            <w:vAlign w:val="top"/>
          </w:tcPr>
          <w:p>
            <w:pPr>
              <w:rPr>
                <w:rFonts w:hint="default" w:ascii="Verdana Regular" w:hAnsi="Verdana Regular" w:cs="Verdana Regula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7.</w:t>
            </w:r>
          </w:p>
        </w:tc>
        <w:tc>
          <w:tcPr>
            <w:tcW w:w="618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Ingresos por Ventas de Bienes, Prestación de Servicios y Otros Ingresos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1,303,977.5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71.</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Instituciones Públicas de Seguridad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78,495.9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Instituto Mexicano del Seguro Social.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28,526.0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2"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Instituto de Seguridad y Servicios Sociales de los Trabajadores del Estado.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49,969.9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72.</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Ventas de Bienes y Prestación de Servicios de Empresas Productivas del Estado: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1,225,481.6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Petróleos Mexicanos.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826,492.8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Comisión Federal de Electricidad.</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398,988.8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73.</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Entidades Paraestatales y Fideicomisos No Empresariales y No Financieros.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74.</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Entidades Paraestatales Empresariales No Financieras con Participación Estatal Mayoritaria.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75.</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Entidades Paraestatales Empresariales Financieras Monetarias con Participación Estatal Mayoritaria.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76.</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Entidades Paraestatales Empresariales Financieras No Monetarias con Participación Estatal Mayoritaria.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77.</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Fideicomisos Financieros Públicos con Participación Estatal Mayoritaria.</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78.</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Ingresos por Venta de Bienes y Prestación de Servicios de los Poderes Legislativo y Judicial, y de los Órganos Autónomos.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79.</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 Ingresos.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8.</w:t>
            </w:r>
          </w:p>
        </w:tc>
        <w:tc>
          <w:tcPr>
            <w:tcW w:w="618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Participaciones, Aportaciones, Convenios, Incentivos Derivados de la Colaboración Fiscal y Fondos Distintos de Aportaciones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81.</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Participaciones.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82.</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Aportaciones.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83.</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Convenios.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84.</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Incentivos Derivados de la Colaboración Fiscal.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85.</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Fondos Distintos de Aportaciones.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8"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9.</w:t>
            </w:r>
          </w:p>
        </w:tc>
        <w:tc>
          <w:tcPr>
            <w:tcW w:w="618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Transferencias, Asignaciones, Subsidios y Subvenciones, y Pensiones y Jubilaciones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487,742.6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91.</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Transferencias y Asignaciones.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93.</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Subsidios y Subvenciones.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95.</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Pensiones y jubilaciones.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97.</w:t>
            </w:r>
          </w:p>
        </w:tc>
        <w:tc>
          <w:tcPr>
            <w:tcW w:w="5420"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Transferencias del Fondo Mexicano del Petróleo para la Estabilización y el Desarrollo: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487,742.6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Ordinarias.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487,742.6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Extraordinarias.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4" w:hRule="atLeast"/>
        </w:trPr>
        <w:tc>
          <w:tcPr>
            <w:tcW w:w="7063" w:type="dxa"/>
            <w:gridSpan w:val="4"/>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0.</w:t>
            </w:r>
          </w:p>
        </w:tc>
        <w:tc>
          <w:tcPr>
            <w:tcW w:w="618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Ingresos Derivados de Financiamientos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1,176,173.8</w:t>
            </w: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0"/>
        <w:gridCol w:w="725"/>
        <w:gridCol w:w="695"/>
        <w:gridCol w:w="717"/>
        <w:gridCol w:w="3652"/>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Endeudamiento interno: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1,210,347.0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Endeudamiento interno del Gobierno Federal.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1,168,313.9</w:t>
            </w:r>
          </w:p>
        </w:tc>
      </w:tr>
      <w:tr>
        <w:tblPrEx>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 financiamientos: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42,033.1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Diferimiento de pagos.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42,033.1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51"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394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Otros.</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02.</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Endeudamiento externo: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26"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01.</w:t>
            </w:r>
          </w:p>
        </w:tc>
        <w:tc>
          <w:tcPr>
            <w:tcW w:w="4694" w:type="dxa"/>
            <w:gridSpan w:val="2"/>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Endeudamiento externo del Gobierno Federal.</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shd w:val="clear"/>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03.</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Financiamiento Interno.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04.</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Déficit de organismos y empresas de control directo.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-34,173.2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88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 </w:t>
            </w:r>
          </w:p>
        </w:tc>
        <w:tc>
          <w:tcPr>
            <w:tcW w:w="760"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05.</w:t>
            </w:r>
          </w:p>
        </w:tc>
        <w:tc>
          <w:tcPr>
            <w:tcW w:w="5420" w:type="dxa"/>
            <w:gridSpan w:val="3"/>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Déficit de empresas productivas del Estado.</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7063" w:type="dxa"/>
            <w:gridSpan w:val="5"/>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18"/>
                <w:szCs w:val="18"/>
              </w:rPr>
            </w:pPr>
            <w:r>
              <w:rPr>
                <w:rFonts w:hint="default" w:ascii="Verdana Regular" w:hAnsi="Verdana Regular" w:eastAsia="SimSun" w:cs="Verdana Regular"/>
                <w:i/>
                <w:iCs/>
                <w:color w:val="000000"/>
                <w:kern w:val="0"/>
                <w:sz w:val="18"/>
                <w:szCs w:val="18"/>
                <w:lang w:val="en-US" w:eastAsia="zh-CN" w:bidi="ar"/>
              </w:rPr>
              <w:t>Informativo: Endeudamiento neto del Gobierno Federal (0.01.01+0.02.01)</w:t>
            </w:r>
          </w:p>
        </w:tc>
        <w:tc>
          <w:tcPr>
            <w:tcW w:w="1923" w:type="dxa"/>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top"/>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1,168,313.9</w:t>
            </w:r>
          </w:p>
        </w:tc>
      </w:tr>
    </w:tbl>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Cuando una ley que establezca alguno de los ingresos previstos en este artículo, contenga disposiciones que señalen otros ingresos, estos últimos se considerarán comprendidos en el numeral que corresponda a los ingresos a que se refiere este precepto.</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faculta al Ejecutivo Federal para que durante el ejercicio fiscal de 2023, otorgue los beneficios fiscales que sean necesarios para dar debido cumplimiento a las resoluciones derivadas de la aplicación de mecanismos internacionales para la solución de controversias legales que determinen una violación a un tratado internacional.</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Ejecutivo Federal informará al Congreso de la Unión de los ingresos por contribuciones pagados en especie o en servicios, así como, en su caso, el destino de los mismos.</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Derivado del monto de ingresos fiscales a obtener durante el ejercicio fiscal de 2023, se proyecta una recaudación federal participable por 4 billones 443 mil 267.6 millones de pesos.</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el ejercicio fiscal de 2023, el gasto de inversión del sector público presupuestario aprobado en el Presupuesto de Egresos de la Federación, no se contabilizará para efectos del equilibrio presupuestario previsto en el artículo 17 de la Ley Federal de Presupuesto y Responsabilidad Hacendaria.</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estima que durante el ejercicio fiscal de 2023,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455 millones de pesos.</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aplicación de los recursos a que se refiere el párrafo anterior, se hará de acuerdo a lo establecido en el Presupuesto de Egresos de la Federación para el Ejercicio Fiscal de 2023.</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 Público, por conducto del área responsable de la banca y ahorro, continuará con la instrumentación, fortalecimiento y supervisión de las acciones o esquemas que correspondan para coadyuvar o intervenir en el resarcimiento de los ahorradores afectados.</w:t>
      </w:r>
    </w:p>
    <w:p>
      <w:pPr>
        <w:keepNext w:val="0"/>
        <w:keepLines w:val="0"/>
        <w:widowControl/>
        <w:suppressLineNumbers w:val="0"/>
        <w:shd w:val="clear" w:fill="FFFFFF"/>
        <w:spacing w:after="7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que durante el ejercicio fiscal de 2023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2023, así como de la subcuenta que se haya constituido como complemento en el Fondo de Estabilización de los Ingresos Presupuestarios.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Instituto de Seguridad y Servicios Sociales de los Trabajadores del Estado podrá transferir a la Reserva Financiera y Actuarial del Seguro de Salud, el excedente de la Reserva de Operación de Contingencias y Financiamiento sobre el monto establecido en el artículo 240 de la Ley del Instituto de Seguridad y Servicios Sociales de los Trabajadores del Estado. El importe del gasto que realice dicho Instituto con cargo a los recursos acumulados en las Reservas a que se refieren los artículos 237 y 238 de la Ley del Instituto de Seguridad y Servicios Sociales de los Trabajadores del Estado, deberá ser registrado en los ingresos y en los egresos del flujo de efectivo autorizado para el ejercicio fiscal que corresponda.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de 2023, por un monto de endeudamiento neto interno hasta por 1 billón 170 mil millones de pesos.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de 2023, así como para canjear o refinanciar obligaciones del sector público federal, a efecto de obtener un monto de endeudamiento neto externo de hasta 5 mil 500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2023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operaciones a las que se refiere el párrafo anterior no deberán implicar endeudamiento neto adicional al autorizado para el ejercicio fiscal de 2023.</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2023.</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monto autorizado conforme al párrafo anterior podrá ser adecuado previa autorización del órgano de gobierno de la entidad de que se trate y con la opinión favorable de la Secretaría de Hacienda y Crédito Público.</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de 2023.</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27 mil 068.4 millones de pesos, y un monto de endeudamiento neto externo de hasta 142.2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pPr>
        <w:keepNext w:val="0"/>
        <w:keepLines w:val="0"/>
        <w:widowControl/>
        <w:suppressLineNumbers w:val="0"/>
        <w:shd w:val="clear" w:fill="FFFFFF"/>
        <w:spacing w:after="68"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12 mil 750 millones de pesos, y un monto de endeudamiento neto externo de 397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cómputo de lo establecido en los dos párrafos anteriores se realizará en una sola ocasión, el último día hábil bancario del ejercicio fiscal de 2023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3o.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para la Ciudad de México la contratación y ejercicio de créditos, empréstitos y otras formas de crédito público para un endeudamiento neto de 3 mil millones de pesos para el financiamiento de obras contempladas en el Presupuesto de Egresos de la Ciudad de México para el Ejercicio Fiscal de 2023. Asimismo, se autoriza la contratación y ejercicio de créditos, empréstitos y otras formas de crédito público para realizar operaciones de canje, refinanciamiento o reestructura de la deuda pública de la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ejercicio del monto de endeudamiento autorizado se sujetará a lo dispuesto en la Ley de Disciplina Financiera de las Entidades Federativas y los Municipios.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4o.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ejercicio fiscal de 2023, la Federación percibirá los ingresos por proyectos de infraestructura productiva de largo plazo de inversión financiada directa y condicionada de la</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Comisión Federal de Electricidad por un total de 286,304.3 millones de pesos, de los cuales 140,923.0 millones de pesos corresponden a inversión directa y 145,381.3 millones de pesos a inversión condicionada.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5o.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autoriza al Ejecutivo Federal a contratar proyectos de inversión financiada de la Comisión Federal de Electricidad en los términos de los artículos 18</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la Ley Federal de Deuda Pública y 32, párrafos segundo a sexto, de la Ley Federal de Presupuesto y Responsabilidad Hacendaria, así como del Título Cuarto, Capítulo XIV, del Reglamento de este último ordenamiento, por un total de 984.3 millones de pesos que corresponde a cuatro proyectos de inversión directa.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6o.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7o.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Petróleos Mexicanos y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caso de que la Secretaría de Hacienda y Crédito Público haga uso de las facultades otorgadas en el</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inciso g) de la Ley del Fondo Mexicano del Petróleo para la Estabilización y el Desarrollo.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gastos de mantenimiento y operación de los proyectos integrales de infraestructura de Petróleos Mexicanos que, hasta antes de la entrada en vigor del "Decreto por el</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se adicionan y reforman diversas disposiciones de la Ley Federal de Presupuesto y Responsabilidad Hacendaria", publicado en el Diario Oficial de la Federación el 13 de noviembre de 2008, eran considerados proyectos de</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infraestructura productiva de largo plazo en términos del artículo 32 de dicha Ley, serán registrados como inversión.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De las Facilidades Administrativas y Beneficios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8o.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los casos de prórroga para el pago de créditos fiscales se causarán recargos: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Al 0.98 por ciento mensual sobre los saldos insolutos.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Cuando de conformidad con el</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Código Fiscal de la Federación, se autorice el pago a plazos, se aplicará la tasa de recargos que a continuación se establece, sobre los saldos y durante el periodo de que se trate:</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pagos a plazos en parcialidades de hasta 12 meses, la tasa de recargos será del 1.26 por ciento mensual.</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pagos a plazos en parcialidades de más de 12 meses y hasta de 24 meses, la tasa de recargos será de 1.53 por ciento mensual.</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pagos a plazos en parcialidades superiores a 24 meses, así como tratándose de pagos a plazo diferido, la tasa de recargos será de 1.82 por ciento mensual.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tasas de recargos establecidas en la fracción II de este artículo incluyen la actualización realizada conforme a lo establecido por 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9o.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causación de tales gravámenes.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virtud de lo señalado en el párrafo anterior, no se aplicará lo dispuesto en el artículo 6 bis de la Ley Federal para la Administración y Enajenación de Bienes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10.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Ejecutivo Federal, por conducto de la Secretaría de Hacienda y Crédito Público, queda autorizado para fijar o modificar los aprovechamientos que se cobrarán en el ejercicio fiscal de 2023,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establecer el monto de los aprovechamientos se tomarán en consideración criterios de eficiencia económica y de saneamiento financiero y, en su caso, se estará a lo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podrán establecer aprovechamientos diferenciales por el uso, goce, aprovechamiento o explotación de bienes o por la prestación de servicios, cuando éstos respondan a estrategias de comercialización o racionalización y se otorguen de manera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2023, los montos de los aprovechamientos que se cobren de manera regular. Los aprovechamientos que no sean sometidos a la aprobación de la Secretaría de Hacienda y Crédito Público, no podrán ser cobrados por la dependencia de que se trate a partir del 1 de marzo de 2023.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uso de los medios de identificación electrónica a que se refiere el párrafo anterior producirá los mismos efectos que las disposiciones jurídicas otorgan a los documentos con firma autógrafa y, en consecuencia, tendrán el mismo valor vinculatorio.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autorizaciones para fijar o modificar las cuotas de los aprovechamientos que otorgue la Secretaría de Hacienda y Crédito Público durante el ejercicio fiscal de 2023, sólo surtirán sus efectos para ese año y, en su caso, dicha Secretaría autorizará el destino específico para los aprovechamientos que perciba la dependencia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Cuando la Secretaría de Hacienda y Crédito Público obtenga un aprovechamiento a cargo de cualquier otra entidad paraestatal distinta de las señaladas en el párrafo anterior, dichos ingresos serán enterados a la Tesorería de la Federación bajo dicha naturaleza, a efecto de que sean destinados a programas presupuestarios que permitan cumplir con el Plan Nacional de Desarrollo y los programas que de él deriven.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tanto no sean autorizados los aprovechamientos a que se refiere este artículo para el ejercicio fiscal de 2023, se aplicarán los vigentes al 31 de diciembre de 2022,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tblInd w:w="1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9"/>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MES</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FACTOR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Enero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Febrero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Marzo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Abril</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Mayo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Junio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Julio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Agosto</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Septiembre</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Octubre</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Noviembre</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0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Diciembre</w:t>
            </w:r>
          </w:p>
        </w:tc>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1.0053</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caso de aprovechamientos que, en el ejercicio inmediato anterior, se hayan fijado en porcentajes, se continuarán aplicando durante el ejercicio fiscal de 2023 los porcentajes autorizados por la Secretaría de Hacienda y Crédito Público que se encuentren vigentes al 31 de diciembre de 2022 hasta en tanto dicha Secretaría no emita respuesta respecto de la solicitud de autorización para el ejercicio fiscal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prestador del servicio o el otorgante del uso, goce, aprovechamiento o explotación de bienes sujetos al régimen de dominio público de la Federación, deberá informar a la Secretaría de Hacienda y Crédito Público, a más tardar en el mes de marzo de 2023, los conceptos y montos de los ingresos que hayan percibido por aprovechamientos, así como de los enteros efectuados a la Tesorería de la Federación por dichos conceptos, durante el ejercicio fiscal inmediato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sujetos a que se refiere el párrafo anterior deberán presentar un informe a la Secretaría de Hacienda y Crédito Público, durante los primeros 15 días del mes de julio de 2023, respecto de los ingresos y su concepto que hayan percibido por aprovechamientos durante el primer semestre del ejercicio fiscal en curso, así como de los que tengan programado percibir durante el segundo semestre del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11. 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Ejecutivo Federal, por conducto de la Secretaría de Hacienda y Crédito Público, queda autorizado para fijar o modificar, mediante resoluciones de carácter particular, las cuotas de los productos que pretendan cobrar las dependencias durante el ejercicio fiscal de 2023, aun cuando su cobro se encuentre previsto en otras leyes.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autorizaciones para fijar o modificar las cuotas de los productos que otorgue la Secretaría de Hacienda y Crédito Público durante el ejercicio fiscal de 2023, sólo surtirán sus efectos para ese año y, en su caso, dicha Secretaría autorizará el destino específico para los productos que perciba la dependencia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párrafo anterior, las dependencias interesadas estarán obligadas a someter para su aprobación, durante los meses de enero y febrero de 2023, los montos de los productos que se cobren de manera regular. Los productos que no sean sometidos a la aprobación de la Secretaría de Hacienda y Crédito Público, no podrán ser cobrados por la dependencia de que se trate a partir del 1 de marzo de 2023.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uso de los medios de identificación electrónica a que se refiere el párrafo anterior producirá los mismos efectos que las disposiciones jurídicas otorgan a los documentos con firma autógrafa y, en consecuencia, tendrán el mismo valor vinculatorio.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tanto no sean autorizados los productos a que se refiere este artículo para el ejercicio fiscal de 2023, se aplicarán los vigentes al 31 de diciembre de 2022,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tblPrEx>
          <w:shd w:val="clear"/>
        </w:tblPrEx>
        <w:tc>
          <w:tcPr>
            <w:tcW w:w="0" w:type="auto"/>
            <w:shd w:val="clear"/>
            <w:vAlign w:val="center"/>
          </w:tcPr>
          <w:p>
            <w:pPr>
              <w:rPr>
                <w:rFonts w:hint="default" w:ascii="Verdana Regular" w:hAnsi="Verdana Regular" w:cs="Verdana Regular"/>
                <w:sz w:val="24"/>
                <w:szCs w:val="24"/>
              </w:rPr>
            </w:pPr>
          </w:p>
        </w:tc>
      </w:tr>
    </w:tbl>
    <w:p>
      <w:pPr>
        <w:rPr>
          <w:rFonts w:hint="default" w:ascii="Verdana Regular" w:hAnsi="Verdana Regular" w:cs="Verdana Regula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94"/>
        <w:gridCol w:w="2551"/>
      </w:tblGrid>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MES</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b/>
                <w:bCs/>
                <w:color w:val="000000"/>
                <w:kern w:val="0"/>
                <w:sz w:val="18"/>
                <w:szCs w:val="18"/>
                <w:lang w:val="en-US" w:eastAsia="zh-CN" w:bidi="ar"/>
              </w:rPr>
              <w:t>FACTOR</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Enero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1.0771</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Febrero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1.0707</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Marzo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1.0619</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Abril</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1.0515</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Mayo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1.0459</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Junio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1.0440</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Julio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1.0353</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Agosto</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1.0277</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Septiembre</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1.0232</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Octubre</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1.0184</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Noviembre</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1.0136</w:t>
            </w:r>
          </w:p>
        </w:tc>
      </w:tr>
      <w:tr>
        <w:tc>
          <w:tcPr>
            <w:tcW w:w="269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Diciembre</w:t>
            </w:r>
          </w:p>
        </w:tc>
        <w:tc>
          <w:tcPr>
            <w:tcW w:w="25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Verdana Regular" w:hAnsi="Verdana Regular" w:cs="Verdana Regular"/>
                <w:color w:val="000000"/>
                <w:sz w:val="18"/>
                <w:szCs w:val="18"/>
              </w:rPr>
            </w:pPr>
            <w:r>
              <w:rPr>
                <w:rFonts w:hint="default" w:ascii="Verdana Regular" w:hAnsi="Verdana Regular" w:eastAsia="SimSun" w:cs="Verdana Regular"/>
                <w:color w:val="000000"/>
                <w:kern w:val="0"/>
                <w:sz w:val="18"/>
                <w:szCs w:val="18"/>
                <w:lang w:val="en-US" w:eastAsia="zh-CN" w:bidi="ar"/>
              </w:rPr>
              <w:t>1.0053</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caso de productos que, en el ejercicio inmediato anterior, se hayan fijado en porcentajes, se continuarán aplicando durante el ejercicio fiscal de 2023 los porcentajes autorizados por la Secretaría de Hacienda y Crédito Público que se encuentren vigentes al 31 de diciembre de 2022 hasta en tanto dicha Secretaría no emita respuesta respecto de la solicitud de autorización para el ejercicio fiscal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enterado a la Tesorería de la Federación en los términos de las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enterado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dependencias de la Administración Pública Federal deberán informar a la Secretaría de Hacienda y Crédito Público, a más tardar en el mes de marzo de 2023, los conceptos y montos de los ingresos que hayan percibido por productos, así como de la concentración efectuada a la Tesorería de la Federación por dichos conceptos durante el ejercicio fiscal inmediato anterior.</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dependencias a que se refiere el párrafo anterior deberán presentar un informe a la Secretaría de Hacienda y Crédito Público, durante los primeros 15 días del mes de julio de 2023 respecto de los ingresos y su concepto que hayan percibido por productos durante el primer semestre del ejercicio fiscal citado, así como de los que tengan programado percibir durante el segundo semestre del mismo.</w:t>
      </w:r>
    </w:p>
    <w:p>
      <w:pPr>
        <w:keepNext w:val="0"/>
        <w:keepLines w:val="0"/>
        <w:widowControl/>
        <w:suppressLineNumbers w:val="0"/>
        <w:shd w:val="clear" w:fill="FFFFFF"/>
        <w:spacing w:after="7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12.</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Los ingresos que se recauden durante el ejercicio fiscal de 2023 se concentrarán en términos del artículo 22 de la Ley de Tesorería de la Federación, salvo en los siguientes casos:</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obtengan las dependencias y entidades que integran la Administración Pública Federal, a los que las leyes de carácter no fiscal otorguen una naturaleza distinta a los conceptos previstos en el artículo 1o. de esta Ley, se considerarán comprendidos en el numeral que les corresponda conforme al citado artículo.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públicos que se reintegren de un fideicomiso, mandato o análogo, así como aquellos remanentes a la extinción o terminación de la vigencia de esos instrumentos jurídicos, deberán ser concentrados en la Tesorería de la Federación bajo la naturaleza de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13.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se recauden por concepto de bienes que pasen a ser propiedad del Fisco Federal se enterarán a la Tesorería de la Federación hasta el momento en que se cobre la contraprestación pactada por la enajenación de dichos bienes.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provenientes de numerario, así como de los que se obtengan de la conversión de divisas y de la enajenación de bienes, activos o empresas que realice el Instituto para Devolver al Pueblo lo Robado, que hayan sido declarados abandonados por parte de las instancias competentes, distintos a los señalados en el párrafo décimo sexto del presente artículo y que se concentren a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pPr>
        <w:keepNext w:val="0"/>
        <w:keepLines w:val="0"/>
        <w:widowControl/>
        <w:suppressLineNumbers w:val="0"/>
        <w:shd w:val="clear" w:fill="FFFFFF"/>
        <w:spacing w:after="40"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 con excepción de lo dispuesto en el párrafo décimo primero del artículo 1o. de la presente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que la Federación obtenga en términos del artículo 71 de la Ley General de Víctimas, serán destinados a la Comisión Ejecutiva de Atención a Víctimas conforme a lo señalado en el párrafo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provenientes de la enajenación que realice el Instituto para Devolver al Pueblo lo Robado de vehículos declarados abandonados por la Secretaría de Infraestructura, Comunicaciones y Transportes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30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14.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de 2023, entre las que se comprende de manera enunciativa a las siguientes: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Instituto Mexicano del Seguro Social.</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Instituto de Seguridad y Servicios Sociales de los Trabajadores del Estado.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15.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16.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se estará a lo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materia de estímulos fiscales: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las personas que realicen actividades empresariales, que obtengan en el ejercicio fiscal en el que adquieran el diésel o el biodiésel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 causado por la enajenación de dichos combustibles, en términos del artículo 2o., fracción I, inciso D), numeral 1, subinciso c) o numeral 2, según corresponda al tipo de combustible, de la Ley del Impuesto Especial sobre Producción y Servicios, así como el acreditamiento del impuesto a que se refiere el numeral 1, subinciso c) o numeral 2 citados, que hayan pagado en su importación. El estímulo será aplicable únicamente cuando se cumplan con los requisitos que mediante</w:t>
      </w:r>
    </w:p>
    <w:p>
      <w:pPr>
        <w:keepNext w:val="0"/>
        <w:keepLines w:val="0"/>
        <w:widowControl/>
        <w:suppressLineNumbers w:val="0"/>
        <w:shd w:val="clear" w:fill="FFFFFF"/>
        <w:spacing w:after="101" w:afterAutospacing="0"/>
        <w:ind w:left="1584" w:firstLine="0"/>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estímulo a que se refiere el párrafo anterior también será aplicable a los vehículos marinos siempre que se cumplan los requisitos que mediante reglas de carácter general establezca el Servicio de Administración Tributaria.</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 lo dispuesto en la fracción anterior, los contribuyentes estarán a lo siguiente:</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monto que se podrá acreditar será el que resulte de multiplicar la cuota del impuesto especial sobre producción y servicios que corresponda conforme al artículo 2o., fracción I, inciso D), numeral 1,</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subinciso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ningún caso procederá la devolución de las cantidades a que se refiere este numeral.</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dedicadas a las actividades agropecuarias o silvícolas que se dediquen exclusivamente a estas actividades conforme al párrafo sexto del artículo 74 de la Ley del Impuesto sobre la Renta, que utilicen el diésel o el biodiésel y sus mezclas en dichas actividades, podrán acreditar un monto equivalente a la cantidad que resulte de multiplicar el valor en aduana del pedimento de importación o el precio consignado en el comprobante fiscal de adquisición del diésel o del biodiésel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acreditamiento a que se refiere la fracción anterior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morales que se dediquen exclusivamente a actividades agropecuarias o silvícolas en los términos del párrafo sexto del artículo 74 de la Ley del Impuesto sobre la Renta, que importen o adquieran diésel o biodiésel y sus mezclas para su consumo final en dichas actividades agropecuarias o silvícolas comprendidas en la fracción I del presente apartado podrán solicitar la devolución del monto del impuesto especial sobre producción y servicios que tuvieran derecho a acreditar en los términos de la fracción II que antecede, en lugar de efectuar el acreditamiento a que la misma se refiere, siempre que cumplan con lo dispuesto en esta fracción.</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morales que cumplan con sus obligaciones fiscales en los términos de los artículos 74 y 75 del Capítulo VIII del Título II de la Ley del Impuesto sobre la Renta, que podrán solicitar la devolución a que se refiere esta fracción, serán aquéllas cuyos ingresos en el ejercicio inmediato anterior no hayan excedido el equivalente a veinte veces el valor anual de la Unidad de Medida y Actualización vigente en el año 2022, por cada uno de los socios o asociados, sin exceder de doscientas veces el valor anual de la Unidad de Medida y Actualización vigente en el año 2022. El monto de la devolución no podrá ser superior a 1,495.39 pesos mensuales, por cada uno de los socios o asociados, sin que exceda en su totalidad de 14,947.81 pesos mensuales.</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Servicio de Administración Tributaria emitirá las reglas necesarias para simplificar la obtención de la devolución a que se refiere el párrafo anterior.</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devolución correspondiente deberá ser solicitada trimestralmente en los meses de abril, julio y octubre de 2023 y enero de 2024.</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posterioridad a dicho año.</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derechos previstos en esta fracción y en la fracción II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este artículo no serán aplicables a los contribuyentes que utilicen el diésel o el biodiésel y sus mezclas en bienes destinados al autotransporte de personas o efectos a través de carreteras o caminos.</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 términos del artículo 2o., fracción 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inciso D),</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numeral 1, subinciso c) o el numeral 2 de la Ley del Impuesto Especial sobre Producción y Servicios, según corresponda al tipo de combustible, con los ajustes que en su caso correspondan, así como el acreditamiento del impuesto a que se refiere el numeral 1, subinciso c) o el numeral 2 citados, que hayan pagado en su importación.</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párrafo anterior, el monto que se podrá acreditar será el que resulte de multiplicar la cuota del impuesto especial sobre producción y servicios que corresponda según el tipo de combustible, conforme al artículo 2o., fracción I, inciso D),</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numeral 1, subinciso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 o adquiridos.</w:t>
      </w:r>
    </w:p>
    <w:p>
      <w:pPr>
        <w:keepNext w:val="0"/>
        <w:keepLines w:val="0"/>
        <w:widowControl/>
        <w:suppressLineNumbers w:val="0"/>
        <w:shd w:val="clear" w:fill="FFFFFF"/>
        <w:spacing w:after="68"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acreditamiento a que se refiere esta fracción únicamente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beneficiarios del estímulo previsto en esta fracción deberán llevar los controles y registros que mediante reglas de carácter general establezca el Servicio de Administración Tributaria.</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acreditamiento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acreditamiento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faculta al Servicio de Administración Tributaria para emitir las reglas de carácter general que determinen los porcentajes máximos de acreditamiento por tramo carretero y demás disposiciones que considere necesarias para la correcta aplicación del beneficio contenido en esta fracción.</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acreditamiento del derecho especial sobre minería a que se refiere el artículo 268 de la Ley Federal de Derechos que hayan pagado en el ejercicio de que se trate.</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acreditamiento a que se refiere esta fracción, únicamente podrá efectuarse contra el impuesto sobre la renta que tengan los concesionarios o asignatarios mineros a su cargo, correspondiente al mismo ejercicio en que se haya determinado el estímulo.</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Servicio de Administración Tributaria podrá expedir las disposiciones de carácter general necesarias para la correcta y debida aplicación de esta fracción.</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estímulo a que se refiere el párrafo anterior consiste en una deducción adicional para los efectos del impuesto sobre la renta, por un monto equivalente al 8 por ciento del costo de los libros, periódicos y revistas que adquiera el contribuyente.</w:t>
      </w:r>
    </w:p>
    <w:p>
      <w:pPr>
        <w:keepNext w:val="0"/>
        <w:keepLines w:val="0"/>
        <w:widowControl/>
        <w:suppressLineNumbers w:val="0"/>
        <w:shd w:val="clear" w:fill="FFFFFF"/>
        <w:spacing w:after="90"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físicas y morales no acumularán el monto del estímulo fiscal a que hace referencia esta fracción, para los efectos de la Ley del Impuesto sobre la Renta.</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beneficiarios de los estímulos fiscales previstos en las fracciones I, IV, V, VI y</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VII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este apartado quedarán obligados a proporcionar la información que les requieran las autoridades fiscales dentro del plazo que para tal efecto señalen.</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beneficios que se otorgan en las fracciones I, II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y III</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del presente apartado no podrán ser acumulables con ningún otro estímulo fiscal establecido en esta Ley.</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estímulos establecidos en las fracciones IV y V de este apartado podrán ser acumulables entre sí, pero no con los demás estímulos establecidos en la presente Ley.</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estímulos fiscales que se otorgan en el presente apartado están condicionados a que los beneficiarios de los mismos cumplan con los requisitos que para cada uno de ellos se establece en la presente Ley.</w:t>
      </w:r>
    </w:p>
    <w:p>
      <w:pPr>
        <w:keepNext w:val="0"/>
        <w:keepLines w:val="0"/>
        <w:widowControl/>
        <w:suppressLineNumbers w:val="0"/>
        <w:shd w:val="clear" w:fill="FFFFFF"/>
        <w:spacing w:after="90"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materia de exenciones: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exime del pago del derecho de trámite aduanero que se cause por la importación de gas natural, en los términos del artículo 49 de la Ley Federal de Derechos.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faculta al Servicio de Administración Tributaria para emitir las reglas generales que sean necesarias para la aplicación del contenido previsto en este artículo.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17.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18.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19.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excedentes a que se refiere el artículo anterior, se clasifican de la siguiente manera: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2023 y durante dicho ejercicio fiscal, conforme se modifiquen.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ingresos a que se refiere la fracción III de este artículo se aplicarán en los términos de lo previsto en la fracción II y penúltimo párrafo del artículo 19 de la Ley Federal de Presupuesto y Responsabilidad Hacendaria.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20.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21.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la tasa de retención anual a que se refieren los artículos 54 y 135 de la Ley del Impuesto sobre la Renta será del 0.15 por ciento. La metodología para calcular dicha tasa es la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determinó la tasa de rendimiento promedio ponderado de los valores públicos por el periodo comprendido de noviembre de 2021 a julio de 2022, conforme a lo siguiente:</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tomaron las tasas promedio mensuales por instrumento, de los valores públicos publicados por el Banco de México.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determinó el factor de ponderación mensual por instrumento, dividiendo las subastas mensuales de cada instrumento entre el total de las subastas de todos los instrumentos públicos efectuadas al mes.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calcular la tasa ponderada mensual por instrumento, se multiplicó la tasa promedio mensual de cada instrumento por su respectivo factor de ponderación mensual, determinado conforme al inciso anterior.</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determinar la tasa ponderada mensual de valores públicos se sumó la tasa ponderada mensual por cada instrumento.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tasa de rendimiento promedio ponderado de valores públicos correspondiente al periodo de noviembre de 2021 a julio de 2022 se determinó con el promedio simple de las tasas ponderadas mensuales determinadas conforme al inciso anterior del mencionado periodo.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tomaron las tasas promedio ponderadas mensuales de valores privados por instrumento publicadas por el Banco de México y se determinó el promedio simple de dichos valores correspondiente al periodo de noviembre de 2021 a julio de 2022.</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determinó un factor ponderado de los instrumentos públicos y privados en función al saldo promedio en circulación de los valores públicos y privados correspondientes al periodo de noviembre de 2021 a julio de 2022 publicados por el Banco de México.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obtener la tasa ponderada de instrumentos públicos y privados, se multiplicaron las tasas promedio ponderadas de valores públicos y privados, determinados conforme a las fracciones I y II de este artículo, por su respectivo factor de ponderación, determinado conforme a la fracción anterior, y posteriormente se sumaron dichos valores ponderados.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Al valor obtenido conforme a la fracción anterior se disminuyó el valor promedio de la inflación mensual interanual del índice general correspondiente a cada uno de los meses del periodo de noviembre de 2021 a julio de 2022 del Índice Nacional de Precios al Consumidor, publicado por el Instituto Nacional de Estadística y Geografía.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tasa de retención anual es el resultado de multiplicar el valor obtenido conforme a la fracción V de este artículo por la tasa correspondiente al último tramo de la tarifa del artículo 152 de la Ley del Impuesto sobre la Renta.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22.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previsto en el artículo 39 de la Ley de Ingresos sobre Hidrocarburos, los Asignatarios pagarán el derecho por la utilidad compartida aplicando la tasa de 40 por ciento en sustitución de la tasa prevista en el citado artículo 39.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23. 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impuesto sobre la renta, se estará a lo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 los artículos 82, fracción IV</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las organizaciones civiles y fideicomisos autorizados para recibir donativos, se deberá cumplir con lo siguiente:</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Contar con autorización vigente para recibir donativos al menos durante los 5 años previos al momento en que se realice la donación, y que durante ese periodo la autorización correspondiente no haya sido revocada o no renovada.</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Haber obtenido ingresos en el ejercicio inmediato anterior cuando menos de 5 millones de pesos.</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Auditar sus estados financieros.</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Presentar un informe respecto de los donativos que se otorguen a organizaciones o fideicomisos que no tengan el carácter de donatarias autorizadas que se dediquen a realizar labores de rescate y reconstrucción ocasionados por desastres naturales.</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No otorgar donativos a partidos políticos, sindicatos, instituciones religiosas o de gobierno.</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Presentar un listado con el nombre, denominación o razón social y Registro Federal de Contribuyentes de las organizaciones civiles o fideicomisos que no cuenten con la autorización para recibir donativos a las cuales se les otorgó el donativo.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las organizaciones civiles y fideicomisos que no cuenten con autorización para recibir donativos, a que se refiere el primer párrafo de esta fracción, deberán cumplir con lo siguiente:</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Estar inscritas en el Registro Federal de Contribuyentes.</w:t>
      </w:r>
    </w:p>
    <w:p>
      <w:pPr>
        <w:keepNext w:val="0"/>
        <w:keepLines w:val="0"/>
        <w:widowControl/>
        <w:suppressLineNumbers w:val="0"/>
        <w:shd w:val="clear" w:fill="FFFFFF"/>
        <w:spacing w:after="101"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Comprobar que han efectuado operaciones de atención de desastres, emergencias o contingencias por lo menos durante 3 años anteriores a la fecha de recepción del donativo.</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No haber sido donataria autorizada a la que se le haya revocado o no renovado la autorización.</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Ubicarse en alguno de los municipios o en las demarcaciones territoriales de la Ciudad de México, de las zonas afectadas por el desastre natural de que se trate.</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Devolver los remanentes de los recursos recibidos no utilizados para el fin que fueron otorgados a la donataria autorizada.</w:t>
      </w:r>
    </w:p>
    <w:p>
      <w:pPr>
        <w:keepNext w:val="0"/>
        <w:keepLines w:val="0"/>
        <w:widowControl/>
        <w:suppressLineNumbers w:val="0"/>
        <w:shd w:val="clear" w:fill="FFFFFF"/>
        <w:spacing w:after="76" w:afterAutospacing="0"/>
        <w:ind w:left="2016"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Hacer pública la información de los donativos recibidos en su página de Internet o, en caso de no contar con una, en la página de la donataria autorizada.</w:t>
      </w:r>
    </w:p>
    <w:p>
      <w:pPr>
        <w:keepNext w:val="0"/>
        <w:keepLines w:val="0"/>
        <w:widowControl/>
        <w:suppressLineNumbers w:val="0"/>
        <w:shd w:val="clear" w:fill="FFFFFF"/>
        <w:spacing w:after="76"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Servicio de Administración Tributaria podrá expedir reglas de carácter general necesarias para la debida y correcta aplicación de esta fracción.</w:t>
      </w:r>
    </w:p>
    <w:p>
      <w:pPr>
        <w:keepNext w:val="0"/>
        <w:keepLines w:val="0"/>
        <w:widowControl/>
        <w:suppressLineNumbers w:val="0"/>
        <w:shd w:val="clear" w:fill="FFFFFF"/>
        <w:spacing w:after="76"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76" w:afterAutospacing="0"/>
        <w:ind w:left="0" w:firstLine="0"/>
        <w:jc w:val="center"/>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De la Información, la Transparencia, la Evaluación de la Eficiencia Recaudatoria, la Fiscalización y</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el</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Endeudamiento</w:t>
      </w:r>
    </w:p>
    <w:p>
      <w:pPr>
        <w:keepNext w:val="0"/>
        <w:keepLines w:val="0"/>
        <w:widowControl/>
        <w:suppressLineNumbers w:val="0"/>
        <w:shd w:val="clear" w:fill="FFFFFF"/>
        <w:spacing w:after="7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24.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pPr>
        <w:keepNext w:val="0"/>
        <w:keepLines w:val="0"/>
        <w:widowControl/>
        <w:suppressLineNumbers w:val="0"/>
        <w:shd w:val="clear" w:fill="FFFFFF"/>
        <w:spacing w:after="7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realización del estudio referido en el párrafo anterior será responsabilidad de la Secretaría de Hacienda y Crédito Público y deberá ser entregado a las comisiones de Hacienda y Crédito Público y de Presupuesto y Cuenta Pública de la Cámara de Diputados y publicado en la página de Internet de dicha Secretaría, a más tardar el 15 de marzo de 2023.</w:t>
      </w:r>
    </w:p>
    <w:p>
      <w:pPr>
        <w:keepNext w:val="0"/>
        <w:keepLines w:val="0"/>
        <w:widowControl/>
        <w:suppressLineNumbers w:val="0"/>
        <w:shd w:val="clear" w:fill="FFFFFF"/>
        <w:spacing w:after="7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25.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estímulos fiscales y las facilidades administrativas que prevea la Iniciativa de Ley de Ingresos de la Federación para el Ejercicio Fiscal de 2024 se otorgarán con base en criterios de eficiencia económica, no discriminación, temporalidad definida y progresividad.</w:t>
      </w:r>
    </w:p>
    <w:p>
      <w:pPr>
        <w:keepNext w:val="0"/>
        <w:keepLines w:val="0"/>
        <w:widowControl/>
        <w:suppressLineNumbers w:val="0"/>
        <w:shd w:val="clear" w:fill="FFFFFF"/>
        <w:spacing w:after="7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26 de esta Ley.</w:t>
      </w:r>
    </w:p>
    <w:p>
      <w:pPr>
        <w:keepNext w:val="0"/>
        <w:keepLines w:val="0"/>
        <w:widowControl/>
        <w:suppressLineNumbers w:val="0"/>
        <w:shd w:val="clear" w:fill="FFFFFF"/>
        <w:spacing w:after="7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26.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pPr>
        <w:keepNext w:val="0"/>
        <w:keepLines w:val="0"/>
        <w:widowControl/>
        <w:suppressLineNumbers w:val="0"/>
        <w:shd w:val="clear" w:fill="FFFFFF"/>
        <w:spacing w:after="76"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documento denominado Renuncias Recaudatorias, a más tardar el 30 de junio de 2023,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pPr>
        <w:keepNext w:val="0"/>
        <w:keepLines w:val="0"/>
        <w:widowControl/>
        <w:suppressLineNumbers w:val="0"/>
        <w:shd w:val="clear" w:fill="FFFFFF"/>
        <w:spacing w:after="76"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documento a que se refiere el párrafo anterior, tomará como base los datos estadísticos necesarios que el Servicio de Administración Tributaria está obligado a proporcionar, conforme a lo previsto en el artículo 22, fracción III de la Ley del Servicio de Administración Tributaria, y deberá contener los montos referidos estimados para el ejercicio fiscal de 2023 en los siguientes términos:</w:t>
      </w:r>
    </w:p>
    <w:p>
      <w:pPr>
        <w:keepNext w:val="0"/>
        <w:keepLines w:val="0"/>
        <w:widowControl/>
        <w:suppressLineNumbers w:val="0"/>
        <w:shd w:val="clear" w:fill="FFFFFF"/>
        <w:spacing w:after="76"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monto estimado de los recursos que dejará de percibir en el ejercicio el erario federal.</w:t>
      </w:r>
    </w:p>
    <w:p>
      <w:pPr>
        <w:keepNext w:val="0"/>
        <w:keepLines w:val="0"/>
        <w:widowControl/>
        <w:suppressLineNumbers w:val="0"/>
        <w:shd w:val="clear" w:fill="FFFFFF"/>
        <w:spacing w:after="76"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metodología utilizada para realizar la estimación.</w:t>
      </w:r>
    </w:p>
    <w:p>
      <w:pPr>
        <w:keepNext w:val="0"/>
        <w:keepLines w:val="0"/>
        <w:widowControl/>
        <w:suppressLineNumbers w:val="0"/>
        <w:shd w:val="clear" w:fill="FFFFFF"/>
        <w:spacing w:after="76"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referencia o sustento jurídico que respalde la inclusión de cada concepto o partida.</w:t>
      </w:r>
    </w:p>
    <w:p>
      <w:pPr>
        <w:keepNext w:val="0"/>
        <w:keepLines w:val="0"/>
        <w:widowControl/>
        <w:suppressLineNumbers w:val="0"/>
        <w:shd w:val="clear" w:fill="FFFFFF"/>
        <w:spacing w:after="76"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sectores o actividades beneficiados específicamente de cada concepto, en su caso.</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beneficios sociales y económicos asociados a cada una de las renuncias recaudatorias.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Un reporte de las personas morales y fideicomisos autorizados para recibir donativos deducibles para los efectos del impuesto sobre la renta, a más tardar el 30 de septiembre de 2023, en el que se deberá señalar, para cada una la siguiente información:</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por donativos recibidos en efectivo de nacionales.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por donativos recibidos en efectivo de extranjeros.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por donativos recibidos en especie de nacionales.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por donativos recibidos en especie de extranjeros.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obtenidos por arrendamiento de bienes.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obtenidos por dividendos.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obtenidos por regalías.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Ingresos obtenidos por intereses devengados a favor y ganancia cambiaria.</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Otros ingresos.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Erogaciones efectuadas por sueldos, salarios y gastos relacionados.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Erogaciones efectuadas por aportaciones al Sistema de Ahorro para el Retiro, al Instituto del Fondo Nacional de la Vivienda para los Trabajadores, y jubilaciones por vejez.</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Erogaciones efectuadas por cuotas al Instituto Mexicano del Seguro Social.</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Gastos administrativos.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Gastos operativos.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Monto total de percepciones netas de cada integrante del Órgano de Gobierno Interno o de directivos análogos.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reporte deberá incluir las entidades federativas en las que se ubiquen las mismas, clasificándolas por tipo de donataria de conformidad con los conceptos contenidos en los artículos 79, 82, 83 y 84 de la Ley del Impuesto sobre la Renta y en su Reglamento.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2022, a la que se refiere el tercer párrafo del artículo 86 de la Ley del Impuesto sobre la Renta.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2023, en la página de Internet del Servicio de Administración Tributaria en la Sección de Transparencia de Donatarias Autorizadas correspondiente al ejercicio fiscal de 2022, a que se refiere el artículo 82, fracción VI de la Ley del Impuesto sobre la Renta. Se entenderá por gastos administrativos y operativos lo siguiente:</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Gastos administrativos: los relacionados con las remuneraciones al personal, arrendamiento de bienes muebles e inmuebles,</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Gastos operativos: aquéllos que la donataria deba destinar directamente para cumplir con los fines propios de su objeto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Artículo 27.</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En el ejercicio fiscal de 2023, toda iniciativa en materia fiscal, incluyendo aquéllas que se presenten para cubrir el Presupuesto de Egresos de la Federación para el Ejercicio Fiscal de 2024,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Toda iniciativa en materia fiscal que envíe el Ejecutivo Federal al Congreso de la Unión observará lo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se otorgue certidumbre jurídica a los contribuyentes.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el pago de las contribuciones sea sencillo y asequible.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el monto a recaudar sea mayor que el costo de su recaudación y fiscalización.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Que las contribuciones sean estables para las finanzas públicas.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2024 incluirá las estimaciones de las contribuciones contempladas en las leyes fiscales.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Iniciativa de Ley de Ingresos de la Federación para el Ejercicio Fiscal de 2024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18"/>
          <w:szCs w:val="18"/>
        </w:rPr>
      </w:pPr>
      <w:r>
        <w:rPr>
          <w:rFonts w:hint="default" w:ascii="Verdana Regular" w:hAnsi="Verdana Regular" w:eastAsia="Times" w:cs="Verdana Regular"/>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Primero.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presente Ley entrará en vigor el 1 de enero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Segundo.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Tercero.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 la Ley de Ingresos de la Federación para el Ejercicio Fiscal de 2023,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Cuarto.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Pr>
          <w:rFonts w:hint="default" w:ascii="Verdana Regular" w:hAnsi="Verdana Regular" w:eastAsia="SimSun" w:cs="Verdana Regular"/>
          <w:i/>
          <w:iCs/>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términos del citado precepto.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Quinto.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Sexto.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Séptimo.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y municipios que cuenten con disponibilidades de recursos federales destinados a un fin específico previsto en ley, en reglas de operación, convenios o instrumentos jurídicos, correspondientes a ejercicios fiscales anteriores al 2023, que no hayan sido devengados y pagados en términos de las disposiciones jurídicas aplicables, deberán concentrarlos a la Tesorería de la Federación, incluyendo los rendimientos financieros que hubieran generado. Los recursos correspondientes a los aprovechamientos que se obtengan, podrán destinarse por la Secretaría de Hacienda y Crédito Público, conforme a los términos establecidos en los convenios que, para tal efecto, suscriba con las entidades federativas que justifiquen un desequilibrio financiero que les imposibilite cumplir con obligaciones de pago de corto plazo del gasto de operación o, en su caso y, sujeto a la disponibilidad presupuestaria podrá destinarse para mejorar la infraestructura en las mismas. De igual manera se podrán destinar para atender desastres naturales.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anterior, los aprovechamientos provenientes de la concentración de recursos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Octavo.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ejercicio fiscal de 2023,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2023.</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Noveno.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Instituto de Seguridad y Servicios Sociales de los Trabajadores del Estado, durante el ejercicio fiscal de 2023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participaciones y transferencias federales de las entidades federativas y los municipios que correspondan, de conformidad con lo establecido en el último párrafo del artículo 9o. de la Ley de Coordinación Fiscal.</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Hacienda y Crédito Público determinará el monto de los pagos a que se refiere el párrafo anterior con cargo a las participaciones y transferencias federales, garantizando que las entidades federativas y municipios cuenten con solvencia suficiente.</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Instituto de Seguridad y Servicios Sociales de los Trabajadores del Estado,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20 años. Asimismo, en adición a lo previsto en el artículo 22 de la Ley del Instituto de Seguridad y Servicios Sociales de los Trabajadores del Estado, en el marco de la celebración de los referidos convenios, dicho Instituto deberá otorgar descuentos en los accesorios generados a las contribuciones adeudadas excepto tratándose de los accesorios generados por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párrafo anterior, el Instituto</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fideicomitidos se</w:t>
      </w:r>
    </w:p>
    <w:p>
      <w:pPr>
        <w:keepNext w:val="0"/>
        <w:keepLines w:val="0"/>
        <w:widowControl/>
        <w:suppressLineNumbers w:val="0"/>
        <w:shd w:val="clear" w:fill="FFFFFF"/>
        <w:spacing w:after="86" w:afterAutospacing="0"/>
        <w:ind w:left="0" w:firstLine="0"/>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apliquen a los fines de dichos instrumentos y que se cumplan dichos fines, incluyendo durante su proceso de extinción o terminación.</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Primero.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unidades responsables de los fideicomisos, mandatos o análogos públicos, deberán realizar los actos correspondientes para que las instituciones fiduciarias o mandatarias, concentren trimestralmente en la Tesorería de la Federación bajo la naturaleza de aprovechamientos, los rendimientos financieros generados por la inversión de los recursos públicos federales que forman parte del patrimonio fideicomitido o destinado para el cumplimiento de su objeto, salvo disposición de carácter general en contrario.</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instituciones fiduciarias o mandatarias de fideicomisos, mandatos o análogos públicos, deberán concentrar de forma trimestral en la Tesorería de la Federación los intereses generados por los recursos públicos federales que forman parte del patrimonio fideicomitido o destinado para el cumplimiento de su objeto, salvo aquéllos que impliquen el pago de gastos de operación de dichos vehículos, bajo la naturaleza de aprovechamientos, y se destinarán por la Secretaría de Hacienda y Crédito Público en términos de lo establecido en el artículo 12, último párrafo, de esta Ley, lo anterior con excepción de aquellos vehículos financieros que por disposición expresa de ley, decreto o determinación de la Secretaría de Hacienda y Crédito Público, dichos recursos deban permanecer afectos a su patrimonio o destinados al objeto correspondiente.</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Segundo.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2023 a suscribir convenios de pago en parcialidades a un plazo máximo de hasta 6 años.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tal efecto, las participaciones que les corresponda recibir a las entidades federativas y los municipios, podrán compensarse de conformidad con lo establecido en el último párrafo del artículo 9o. de la Ley de Coordinación Fiscal.</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Tercero.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Los recursos que obtenga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así como para los programas presupuestarios que determine el Ejecutivo Federal.</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Cuarto.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Instituto de Salud para el Bienestar, instruirá a la institución fiduciaria del Fondo de Salud para el Bienestar para que, durante el primer semestre de 2023, concentre en la Tesorería de la Federación el remanente del patrimonio de ese Fideicomiso a que se refiere el artículo 77 bis 17 de la Ley General de Salud, salvo que la Secretaría de Hacienda y Crédito Público autorice que el remanente referido permanezca para el cumplimiento de los fines de dicho fondo.</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correspondientes a los aprovechamientos que se obtengan derivado del remanente que se concentren a la Tesorería de la Federación, se destinarán prioritariamente por la Secretaría de Hacienda y Crédito Público para la adquisición de vacunas y los gastos de operación asociados; para los requerimientos derivados de la atención a la enfermedad generada por el virus SARS-CoV2, así como para el fortalecimiento de los programas y acciones en materia de salud.</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Quinto.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ejercicio fiscal de 2023, para efectos del artículo 21 Bis, fracción VIII, inciso b) de la Ley Federal de Presupuesto y Responsabilidad Hacendaria, referente al reintegro de recursos que las entidades federativas deben realizar al Fondo de Estabilización de los Ingresos de las Entidades Federativas, la Secretaría de Hacienda y Crédito Público compensará dicho reintegro en parcialidades contra las participaciones federales de la entidad federativa de que se trate, sin ninguna carga financiera adicional, dentro del término de seis meses contados a partir del día siguiente a aquél en el que se comunique a la entidad federativa el monto que deberá reintegrar.</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Sexto.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y municipios, que al día 29 de septiembre de 2021, hayan mantenido recursos públicos federales correspondientes al ejercicio fiscal 2021 que deban ser reintegrados a la Federación, en depósito en una cuenta correspondiente a una institución de banca múltiple cuya</w:t>
      </w:r>
    </w:p>
    <w:p>
      <w:pPr>
        <w:keepNext w:val="0"/>
        <w:keepLines w:val="0"/>
        <w:widowControl/>
        <w:suppressLineNumbers w:val="0"/>
        <w:shd w:val="clear" w:fill="FFFFFF"/>
        <w:spacing w:after="92" w:afterAutospacing="0"/>
        <w:ind w:left="0" w:firstLine="0"/>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autorización para organizarse y operar como tal haya sido revocada a dicha fecha, deberán concentrarlos a la Tesorería de la Federación, a más tardar el 31 de diciembre de 2023, incluyendo los rendimientos financieros que hubieran generado.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anterior, los aprovechamientos provenientes de la concentración de los recursos que realicen las entidades federativas y municipios en términos del presente transitorio, no se considerarán extemporáneos, por lo que no causan daño a la hacienda pública ni se cubrirán cargas financieras.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aprovechamientos a que se refiere el presente artículo se destinarán conforme a lo establecido en el Transitorio Séptimo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Séptimo.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dispuesto en los artículos 24 de esta Ley y 31 de la Ley del Servicio de Administración Tributaria, se entenderán por cumplidas las obligaciones relativas a la entrega y publicación del estudio de ingreso-gasto para el ejercicio fiscal de 2023, con la publicación de dicho estudio correspondiente al año 2022 en la página de Internet de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Octavo.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dispuesto en el artículo 26, apartado A de esta Ley, el documento denominado Renuncias Recaudatorias, será el correspondiente al publicado en la página de Internet de la Secretaría de Hacienda y Crédito Público el 30 de junio de 2022. En este supuesto, se entenderá por cumplida la obligación a que se refiere la citada disposición para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Décimo Noveno.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la fracción III del artículo 45 de la Ley de Coordinación Fiscal, las aportaciones federales con cargo al Fondo de Aportaciones para la Seguridad Pública de los Estados y del Distrito Federal, también podrán destinarse para la adquisición de equipos de radiocomunicación, vehículos y equipos terrestres para todas las instituciones de seguridad pública de las entidades federativas y municipios.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podrán destinar los recursos netos que se obtengan de los mecanismos a que se refiere el artículo 52, primer párrafo de la Ley de Coordinación Fiscal para la adquisición de los equipos y vehículos señalados en el párrafo anterior que requieran todas las instituciones de seguridad pública de las entidades federativas y municipios, para la ejecución de programas de seguridad pública y nacional, en términos de los convenios respectivos.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El Secretariado Ejecutivo del Sistema Nacional de Seguridad Pública, en coordinación con las instancias competentes de las entidades federativas, realizará las acciones necesarias para dar cumplimiento a este artículo 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Los recursos del Fondo de Aportaciones para la Seguridad Pública de los Estados y del Distrito Federal, cuyo destino sea la adquisición de armamento y municiones, se considerarán devengados en el ejercicio en que se realice el requerimiento correspondiente a la Secretaría de la Defensa Nacional, siempre que realicen el pago respectivo antes del 31 de marzo del año siguiente, sin perjuicio del momento de la entrega material de dichos bienes.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Primero.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podrán celebrar convenios de coordinación con el organismo público descentralizado de la Administración Pública Federal denominado Servicios de Salud del Instituto Mexicano del Seguro Social para el Bienestar, con el objeto de que éste proporcione la atención integral gratuita médica y hospitalaria con medicamentos y demás insumos asociados a las personas sin afiliación a las instituciones de seguridad social. Los convenios señalados deberán observar, entre otros,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deberán, dentro de los cinco días hábiles contados a partir del día hábil siguiente al que reciban los recursos por parte de la Secretaría de Hacienda y Crédito Público, entregar los recursos del Fondo de Aportaciones para los Servicios de Salud que correspondan, incluyendo los intereses generados, al fideicomiso público federal sin estructura que se constituya para tales propósitos, lo anterior, para efectos de lo previsto en el artículo 49, segundo párrafo, de la Ley de Coordinación Fiscal.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comprobarán el ejercicio de los recursos del Fondo de Aportaciones para los Servicios de Salud y de los intereses respectivos que sean entregados en términos de la fracción I, con la documentación que acredite la aportación de los mismos al fideicomiso antes referido, lo anterior, para efectos de lo establecido en la Ley de Coordinación Fiscal, en la Ley General de Contabilidad Gubernamental, y en las demás disposiciones aplicables.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del Fondo de Aportaciones para los Servicios de Salud que no sean entregados por</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parte de las entidades federativas en términos de la fracción anterior, se sujetarán a las disposiciones relativas a la comprobación del gasto y a la presentación de informes sobre el ejercicio y destino de los mismos, conforme a lo establecido en las disposiciones señaladas en el párrafo anterior.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del Fondo de Aportaciones para los Servicios de Salud que administren y ejerzan directamente las entidades federativas y que no sean entregados en términos de la fracción I del presente transitorio, se sujetarán a las disposiciones contenidas en el artículo 74 de la Ley General de Contabilidad Gubernamental.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del Fondo de Aportaciones para los Servicios de Salud que se entreguen al fideicomiso público federal referido en la fracción I del presente transitorio, deberán estar debidamente identificados en las cuentas o subcuentas específicas.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Segundo.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Secretaría de Salud federal o el Instituto de Salud para el Bienestar deberán, según corresponda, transferir al organismo público descentralizado de la Administración Pública Federal denominado Servicios de Salud del Instituto Mexicano del Seguro Social para el Bienestar, hasta el 100 por ciento de los recursos a que se refieren los artículos 77 bis 12 y 77 bis 15 de la Ley General de Salud respecto de los montos que les correspondan a las entidades federativas, conforme a lo que se establezca en los convenios de coordinación a que se refiere el Vigésimo Primero Transitorio de esta Ley, mediante el mecanismo presupuestario que se establezca y previa autorización de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deberán entregar los recursos señalados en el artículo 77 bis 13 y, en su caso, los contemplados en el artículo 77 bis 14 de la Ley General de Salud al organismo público descentralizado denominado Servicios de Salud del Instituto Mexicano del Seguro Social para el Bienestar o al fideicomiso público federal sin estructura referido en el Vigésimo Primero Transitorio de esta Ley, en términos de lo establecido en los convenios de coordinación mencionados en el párrafo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los casos en que se celebren los convenios de coordinación a que se refiere el presente transitorio, la Secretaría de Salud federal, el Instituto de Salud para el Bienestar, o la institución pública federal que corresponda, deberán realizar las acciones respectivas para llevar a cabo la terminación de la vigencia de los acuerdos de coordinación que hayan celebrado previamente con las entidades federativas en términos de lo señalado en los artículos 77 bis 6 y 77 bis 16 A de la Ley General de Salud, para efectos de lo previsto en los artículos 77 bis 12, 77 bis 13, 77 bis 14, 77 bis 15 y 77 bis 16 de esa misma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el caso de incumplimiento a la obligación que tengan las entidades federativas de entregar los recursos a que se refiere el artículo 77 bis 13 y, en su caso, los contemplados en el artículo 77 bis 14 de la Ley General de Salud o algunos otros propios o de libre disposición, conforme a lo que se establezca en los convenios de coordinación referidos en el presente transitorio, y para efectos de lo establecido en el artículo 9o., último párrafo, parte final, de la Ley de Coordinación Fiscal, la Secretaría de Hacienda y Crédito Público podrá compensar dicho incumplimiento con cargo a las participaciones federales de las entidades federativas, y entregar, conforme al procedimiento que establezca dicha dependencia, los recursos respectivos al organismo público descentralizado denominado Servicios de Salud del Instituto Mexicano del Seguro Social para el Bienestar, o bien, al fideicomiso público sin estructura que se constituya referido en el Vigésimo Primero Transitorio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Tercero.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En el supuesto en que las entidades federativas celebren los convenios de coordinación referidos en el Vigésimo Primero Transitorio de esta Ley, los recursos del Fondo de Aportaciones para los Servicios de Salud podrán afectarse para garantizar, como fuente de pago, las obligaciones que se contraigan en términos de los convenios que celebren las entidades federativas con la Federación, a través de la Secretaría de Hacienda y Crédito Público, en los cuales se deberán establecer los mecanismos de potenciación, financiamiento o esquemas similares respecto de ese fondo.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los convenios señalados en el párrafo anterior se establecerán los términos y condiciones de dichos esquemas, incluyendo el reconocimiento de la recepción anticipada de recursos correspondientes a ese fondo como resultado de los mecanismos referidos, así como su compensación a través del tiempo.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netos que se obtengan de los mecanismos antes referidos, únicamente podrán destinarse a infraestructura directamente relacionada con los fines establecidos en el artículo 29 de la Ley de Coordinación Fiscal, en términos de los convenios de coordinación que las entidades federativas celebren con el organismo público descentralizado de la Administración Pública Federal denominado Servicios de Salud del Instituto Mexicano del Seguro Social para el Bienestar conforme a lo referido en el Vigésimo Primero Transitorio de esta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las obligaciones que se adquieran al amparo de este artículo, no podrá destinarse más del 25 por ciento de los recursos que anualmente correspondan por concepto del Fondo de Aportaciones para los Servicios de Salud, para cumplir con dichas obligaciones, excepto por lo establecido en el párrafo siguiente.</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señalado en el presente transitorio, se podrán constituir los fideicomisos sin estructura que permitan operar los mecanismos de potenciación respectivos.</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Cuarto.</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Los gastos de operación del Fondo de Aportaciones para los Servicios de Salud que, conforme a la comunicación que emita la Federación, reciban las entidades federativas para ser destinados o estar asociados a servicios personales, se deberán clasificar en el capítulo de gasto correspondiente a los servicios personales.</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establecido en los artículos 10, fracción I, último párrafo, y 13, fracción V, de la Ley de Disciplina Financiera de las Entidades Federativas y los Municipios, se podrá incrementar el techo de gasto de servicios personales de la entidad federativa respectiva siempre y cuando derive de la clasificación de los recursos federales etiquetados a que se refiere el párrafo anterior.</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 disposición prevista en este transitorio será aplicable, en lo conducente, para los recursos del Fondo de Aportaciones para los Servicios de Salud que se entreguen al fideicomiso público sin estructura referido en el Vigésimo Primero Transitorio de esta Ley para sufragar los pagos relacionados con la atención integral gratuita médica y hospitalaria con medicamentos y demás insumos asociados a las personas sin afiliación a las instituciones de seguridad social.</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Quinto.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establecido en el artículo 9o., último párrafo, parte final, de la Ley de Coordinación Fiscal, el incumplimiento a las obligaciones contraídas por las entidades federativas relativas a la aportación de recursos propios o de libre disposición a fideicomisos públicos sin estructura o instrumentos financieros, en términos de los convenios que celebren con la Administración Pública Federal, se podrán compensar con cargo a las afectaciones que la Secretaría de Hacienda y Crédito Público realice a las participaciones federales que correspondan. Dicha Secretaría entregará los recursos respectivos al fideicomiso público o instrumento financiero que corresponda, en términos del procedimiento que establezca la misma.</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Vigésimo Sexto. </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Las entidades federativas a que se refiere el "Decreto por el que se fomenta la regularización de vehículos usados de procedencia extranjera", publicado en el Diario Oficial de la Federación el 19 de enero de 2022, y sus posteriores modificaciones, entregarán a sus municipios, en términos de las disposiciones emitidas por la Secretaría de Hacienda y Crédito Público, los subsidios federales derivados de los ingresos que se obtengan por los aprovechamientos que se hayan generado en el ejercicio fiscal de 2022, en términos de lo dispuesto por el artículo 9 del citado Decreto. Dichos recursos se podrán comprometer, devengar y pagar por parte de los municipios durante el ejercicio fiscal de 2023.</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Los recursos que reciban los municipios conforme al párrafo anterior, que no hayan sido comprometidos, devengados y pagados durante el ejercicio fiscal de 2023, deberán ser concentrados en la Tesorería de la Federación incluyendo los rendimientos financieros que hubieran generado, conforme a lo establecido en la Ley de Ingresos de la Federación del ejercicio fiscal que corresponda, dentro de los 15 días naturales siguientes al término del citado ejercicio fiscal.</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Durante el primer bimestre del ejercicio fiscal de 2023, la Secretaría de Hacienda y Crédito Público podrá convenir, así como entregar a los municipios, por conducto de las entidades federativas que correspondan, mediante el mecanismo de Adeudos de Ejercicios Fiscales Anteriores, los subsidios federales que deriven de los aprovechamientos que se hayan generado en el ejercicio fiscal de 2022, en términos del Decreto mencionado. En este supuesto, el ejercicio y aplicación de los recursos se sujetará a lo establecido en el primer párrafo del presente transitorio.</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Para efectos de lo establecido en el párrafo anterior, la Secretaría de Seguridad y Protección Ciudadana, el Servicio de Administración Tributaria y la Agencia Nacional de Aduanas de México, deberán coordinarse para que, a más tardar el 20 de enero de 2023, se remita a la Secretaría de Hacienda y Crédito Público la información relativa a los ingresos excedentes que se obtengan por los aprovechamientos generados en el ejercicio fiscal de 2022, a fin de que la Secretaría de Hacienda y Crédito Público, durante el primer bimestre de 2023, realice los registros de dichos ingresos excedentes, de los recursos presupuestarios y demás registros contables correspondientes al ejercicio fiscal de 2022.</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Ciudad de México, a 25 de octubre de 2022.-</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Dip.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Santiago Creel Miranda</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Presidente.- Sen.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Alejandro Armenta Mier</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Presidente.- Dip.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Brenda Espinoza Lopez</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Secretaria.- Sen.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Verónica Noemí Camino Farjat</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Secretaria.- Rúbricas.</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iCs w:val="0"/>
          <w:caps w:val="0"/>
          <w:color w:val="2F2F2F"/>
          <w:spacing w:val="0"/>
          <w:sz w:val="18"/>
          <w:szCs w:val="18"/>
        </w:rPr>
      </w:pP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2022.-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Rúbrica.- El Secretario de Gobernación, Lic. </w:t>
      </w:r>
      <w:r>
        <w:rPr>
          <w:rFonts w:hint="default" w:ascii="Verdana Regular" w:hAnsi="Verdana Regular" w:eastAsia="SimSun" w:cs="Verdana Regular"/>
          <w:b/>
          <w:bCs/>
          <w:i w:val="0"/>
          <w:iCs w:val="0"/>
          <w:caps w:val="0"/>
          <w:color w:val="2F2F2F"/>
          <w:spacing w:val="0"/>
          <w:kern w:val="0"/>
          <w:sz w:val="18"/>
          <w:szCs w:val="18"/>
          <w:shd w:val="clear" w:fill="FFFFFF"/>
          <w:lang w:val="en-US" w:eastAsia="zh-CN" w:bidi="ar"/>
        </w:rPr>
        <w:t>Adán Augusto López Hernández</w:t>
      </w:r>
      <w:r>
        <w:rPr>
          <w:rFonts w:hint="default" w:ascii="Verdana Regular" w:hAnsi="Verdana Regular" w:eastAsia="SimSun" w:cs="Verdana Regular"/>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4"/>
          <w:szCs w:val="24"/>
        </w:rPr>
      </w:pPr>
      <w:r>
        <w:rPr>
          <w:rFonts w:hint="default" w:ascii="Verdana Regular" w:hAnsi="Verdana Regular" w:eastAsia="Times" w:cs="Verdana Regular"/>
          <w:i w:val="0"/>
          <w:iCs w:val="0"/>
          <w:caps w:val="0"/>
          <w:color w:val="2F2F2F"/>
          <w:spacing w:val="0"/>
          <w:kern w:val="0"/>
          <w:sz w:val="24"/>
          <w:szCs w:val="24"/>
          <w:shd w:val="clear" w:fill="FFFFFF"/>
          <w:lang w:val="en-US" w:eastAsia="zh-CN" w:bidi="ar"/>
        </w:rPr>
        <w:t> </w:t>
      </w:r>
    </w:p>
    <w:p>
      <w:pPr>
        <w:keepNext w:val="0"/>
        <w:keepLines w:val="0"/>
        <w:widowControl/>
        <w:suppressLineNumbers w:val="0"/>
        <w:jc w:val="left"/>
        <w:rPr>
          <w:rFonts w:hint="default" w:ascii="Verdana Regular" w:hAnsi="Verdana Regular" w:cs="Verdana Regular"/>
        </w:rPr>
      </w:pPr>
    </w:p>
    <w:p>
      <w:pPr>
        <w:rPr>
          <w:rFonts w:hint="default" w:ascii="Verdana Regular" w:hAnsi="Verdana Regular" w:cs="Verdana Regul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075D"/>
    <w:rsid w:val="9DFFEB53"/>
    <w:rsid w:val="CFFF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2022-11-15T09:26:00Z</dcterms:created>
  <dc:creator>Allan Morgan Hernández</dc:creator>
  <cp:lastModifiedBy>Allan Morgan Hernández</cp:lastModifiedBy>
  <dcterms:modified xsi:type="dcterms:W3CDTF">2022-11-15T09:29:13Z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