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23" w:rsidRDefault="00A45923" w:rsidP="00A45923">
      <w:pPr>
        <w:jc w:val="center"/>
        <w:rPr>
          <w:rFonts w:ascii="Verdana" w:eastAsia="Verdana" w:hAnsi="Verdana" w:cs="Verdana"/>
          <w:b/>
          <w:color w:val="0000FF"/>
          <w:sz w:val="24"/>
          <w:szCs w:val="24"/>
        </w:rPr>
      </w:pPr>
      <w:r w:rsidRPr="00A45923">
        <w:rPr>
          <w:rFonts w:ascii="Verdana" w:eastAsia="Verdana" w:hAnsi="Verdana" w:cs="Verdana"/>
          <w:b/>
          <w:color w:val="0000FF"/>
          <w:sz w:val="24"/>
          <w:szCs w:val="24"/>
        </w:rPr>
        <w:t>ACUERDO dictado por el Pleno del Tribunal Federal de Conciliación y Arbitraje, en sesión ordinaria de dieciocho de enero de dos mil veintidós, por el que se emite la ampliación del pronunciamiento respecto de la vigencia de las constancias o tomas de nota de las directivas sindicales registradas ante este Tribunal, con motivo de la emergencia sanitaria g</w:t>
      </w:r>
      <w:bookmarkStart w:id="0" w:name="_GoBack"/>
      <w:bookmarkEnd w:id="0"/>
      <w:r w:rsidRPr="00A45923">
        <w:rPr>
          <w:rFonts w:ascii="Verdana" w:eastAsia="Verdana" w:hAnsi="Verdana" w:cs="Verdana"/>
          <w:b/>
          <w:color w:val="0000FF"/>
          <w:sz w:val="24"/>
          <w:szCs w:val="24"/>
        </w:rPr>
        <w:t>enerada por el virus SARS-CoV2 (COVID-19).</w:t>
      </w:r>
      <w:r>
        <w:rPr>
          <w:rFonts w:ascii="Verdana" w:eastAsia="Verdana" w:hAnsi="Verdana" w:cs="Verdana"/>
          <w:b/>
          <w:color w:val="0000FF"/>
          <w:sz w:val="24"/>
          <w:szCs w:val="24"/>
        </w:rPr>
        <w:br/>
        <w:t>(DOF del 03 de febrero de 2022</w:t>
      </w:r>
      <w:r w:rsidRPr="00575D6A">
        <w:rPr>
          <w:rFonts w:ascii="Verdana" w:eastAsia="Verdana" w:hAnsi="Verdana" w:cs="Verdana"/>
          <w:b/>
          <w:color w:val="0000FF"/>
          <w:sz w:val="24"/>
          <w:szCs w:val="24"/>
        </w:rPr>
        <w:t>)</w:t>
      </w:r>
    </w:p>
    <w:p w:rsidR="00B32171" w:rsidRDefault="00A45923" w:rsidP="00A45923">
      <w:pPr>
        <w:jc w:val="both"/>
        <w:rPr>
          <w:rFonts w:ascii="Arial" w:hAnsi="Arial" w:cs="Arial"/>
          <w:b/>
          <w:color w:val="262626" w:themeColor="text1" w:themeTint="D9"/>
          <w:sz w:val="18"/>
        </w:rPr>
      </w:pPr>
      <w:r w:rsidRPr="00A45923">
        <w:rPr>
          <w:rFonts w:ascii="Arial" w:hAnsi="Arial" w:cs="Arial"/>
          <w:b/>
          <w:color w:val="262626" w:themeColor="text1" w:themeTint="D9"/>
          <w:sz w:val="18"/>
        </w:rPr>
        <w:t>Al margen un sello con el Escudo Nacional, que dice: Estados Unidos Mexicanos.- Tribunal Federal de Conciliación y Arbitraje.</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6"/>
          <w:szCs w:val="16"/>
          <w:lang w:eastAsia="es-MX"/>
        </w:rPr>
      </w:pPr>
      <w:r w:rsidRPr="00A45923">
        <w:rPr>
          <w:rFonts w:ascii="Arial" w:eastAsia="Times New Roman" w:hAnsi="Arial" w:cs="Arial"/>
          <w:color w:val="2F2F2F"/>
          <w:sz w:val="16"/>
          <w:szCs w:val="16"/>
          <w:lang w:eastAsia="es-MX"/>
        </w:rPr>
        <w:t>ACUERDO DICTADO POR EL PLENO DEL TRIBUNAL FEDERAL DE CONCILIACIÓN Y ARBITRAJE, EN SESIÓN ORDINARIA DE DIECIOCHO DE ENERO DE DOS MIL VEINTIDÓS, POR EL QUE SE EMITE LA AMPLIACIÓN DEL PRONUNCIAMIENTO RESPECTO DE LA VIGENCIA DE LAS CONSTANCIAS O TOMAS DE NOTA DE LAS DIRECTIVAS SINDICALES REGISTRADAS ANTE ESTE TRIBUNAL, CON MOTIVO DE LA EMERGENCIA SANITARIA GENERADA POR EL VIRUS SARS-CoV2 (COVID-19).</w:t>
      </w:r>
    </w:p>
    <w:p w:rsidR="00A45923" w:rsidRPr="00A45923" w:rsidRDefault="00A45923" w:rsidP="00A45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5923">
        <w:rPr>
          <w:rFonts w:ascii="Times" w:eastAsia="Times New Roman" w:hAnsi="Times" w:cs="Times"/>
          <w:b/>
          <w:bCs/>
          <w:color w:val="2F2F2F"/>
          <w:sz w:val="18"/>
          <w:szCs w:val="18"/>
          <w:lang w:eastAsia="es-MX"/>
        </w:rPr>
        <w:t>CONSIDERANDOS: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PRIMERO.</w:t>
      </w:r>
      <w:r w:rsidRPr="00A45923">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uno de junio, seis de julio, trece de septiembre, cinco de octubre y diecisiete de noviembre de dos mil veintiuno, adoptó las medidas conducentes, a fin de procurar la seguridad en la salud de sus trabajadores y, eventualmente, del público usuario que visita las instalaciones del edificio sede de este Órgano Jurisdiccional.</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SEGUNDO.</w:t>
      </w:r>
      <w:r w:rsidRPr="00A45923">
        <w:rPr>
          <w:rFonts w:ascii="Arial" w:eastAsia="Times New Roman" w:hAnsi="Arial" w:cs="Arial"/>
          <w:color w:val="2F2F2F"/>
          <w:sz w:val="18"/>
          <w:szCs w:val="18"/>
          <w:lang w:eastAsia="es-MX"/>
        </w:rPr>
        <w:t> Que por acuerdo dictado el diecisiete de noviembre de dos mil veintiuno, se aprobó la ampliación del periodo de vigencia y aplicación de las medidas sanitarias establecidas, publicado en el Boletín Laboral Burocrático el diecinueve de noviembre del año en curso, hasta el dieciséis de enero de dos mil veintidós.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TERCERO. </w:t>
      </w:r>
      <w:r w:rsidRPr="00A45923">
        <w:rPr>
          <w:rFonts w:ascii="Arial" w:eastAsia="Times New Roman" w:hAnsi="Arial" w:cs="Arial"/>
          <w:color w:val="2F2F2F"/>
          <w:sz w:val="18"/>
          <w:szCs w:val="18"/>
          <w:lang w:eastAsia="es-MX"/>
        </w:rPr>
        <w:t>El artículo 123 constitucional, apartado B, fracción XII, primer párrafo, establece:</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"Artículo 123</w:t>
      </w:r>
      <w:r w:rsidRPr="00A45923">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B.</w:t>
      </w:r>
      <w:r w:rsidRPr="00A45923">
        <w:rPr>
          <w:rFonts w:ascii="Arial" w:eastAsia="Times New Roman" w:hAnsi="Arial" w:cs="Arial"/>
          <w:color w:val="2F2F2F"/>
          <w:sz w:val="18"/>
          <w:szCs w:val="18"/>
          <w:lang w:eastAsia="es-MX"/>
        </w:rPr>
        <w:t> Entre los Poderes de la Unión y sus trabajadores:</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XII.</w:t>
      </w:r>
      <w:r w:rsidRPr="00A45923">
        <w:rPr>
          <w:rFonts w:ascii="Arial" w:eastAsia="Times New Roman" w:hAnsi="Arial" w:cs="Arial"/>
          <w:color w:val="2F2F2F"/>
          <w:sz w:val="18"/>
          <w:szCs w:val="18"/>
          <w:lang w:eastAsia="es-MX"/>
        </w:rPr>
        <w:t xml:space="preserve"> Los conflictos individuales, colectivos o </w:t>
      </w:r>
      <w:proofErr w:type="spellStart"/>
      <w:r w:rsidRPr="00A45923">
        <w:rPr>
          <w:rFonts w:ascii="Arial" w:eastAsia="Times New Roman" w:hAnsi="Arial" w:cs="Arial"/>
          <w:color w:val="2F2F2F"/>
          <w:sz w:val="18"/>
          <w:szCs w:val="18"/>
          <w:lang w:eastAsia="es-MX"/>
        </w:rPr>
        <w:t>intersindicales</w:t>
      </w:r>
      <w:proofErr w:type="spellEnd"/>
      <w:r w:rsidRPr="00A45923">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 xml:space="preserve">Como se puede advertir, el precepto constitucional transcrito establece que los conflictos individuales, colectivos o </w:t>
      </w:r>
      <w:proofErr w:type="spellStart"/>
      <w:r w:rsidRPr="00A45923">
        <w:rPr>
          <w:rFonts w:ascii="Arial" w:eastAsia="Times New Roman" w:hAnsi="Arial" w:cs="Arial"/>
          <w:color w:val="2F2F2F"/>
          <w:sz w:val="18"/>
          <w:szCs w:val="18"/>
          <w:lang w:eastAsia="es-MX"/>
        </w:rPr>
        <w:t>intersindicales</w:t>
      </w:r>
      <w:proofErr w:type="spellEnd"/>
      <w:r w:rsidRPr="00A45923">
        <w:rPr>
          <w:rFonts w:ascii="Arial" w:eastAsia="Times New Roman" w:hAnsi="Arial" w:cs="Arial"/>
          <w:color w:val="2F2F2F"/>
          <w:sz w:val="18"/>
          <w:szCs w:val="18"/>
          <w:lang w:eastAsia="es-MX"/>
        </w:rPr>
        <w:t xml:space="preserve"> serán sometidos al Tribunal Federal de Conciliación y Arbitraje.</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Por su parte, los artículos 124 y 124 "A" de la Ley Federal de los Trabajadores al Servicio del Estado, establecen la competencia del Pleno del propio Tribunal Federal de Conciliación y Arbitraje, mismos que para mayor referencia, a continuación, se transcriben:</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Artículo 124</w:t>
      </w:r>
      <w:r w:rsidRPr="00A45923">
        <w:rPr>
          <w:rFonts w:ascii="Arial" w:eastAsia="Times New Roman" w:hAnsi="Arial" w:cs="Arial"/>
          <w:color w:val="2F2F2F"/>
          <w:sz w:val="18"/>
          <w:szCs w:val="18"/>
          <w:lang w:eastAsia="es-MX"/>
        </w:rPr>
        <w:t>.- El Tribunal Federal de Conciliación y Arbitraje será competente para:</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w:t>
      </w:r>
      <w:r w:rsidRPr="00A45923">
        <w:rPr>
          <w:rFonts w:ascii="Arial" w:eastAsia="Times New Roman" w:hAnsi="Arial" w:cs="Arial"/>
          <w:color w:val="2F2F2F"/>
          <w:sz w:val="18"/>
          <w:szCs w:val="18"/>
          <w:lang w:eastAsia="es-MX"/>
        </w:rPr>
        <w:t>- Conocer de los conflictos individuales que se susciten entre titulares de una dependencia o entidad y sus trabajadores.</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w:t>
      </w:r>
      <w:r w:rsidRPr="00A45923">
        <w:rPr>
          <w:rFonts w:ascii="Arial" w:eastAsia="Times New Roman" w:hAnsi="Arial" w:cs="Arial"/>
          <w:color w:val="2F2F2F"/>
          <w:sz w:val="18"/>
          <w:szCs w:val="18"/>
          <w:lang w:eastAsia="es-MX"/>
        </w:rPr>
        <w:t>.- Conocer de los conflictos colectivos que surjan entre el Estado y las organizaciones de trabajadores a su servicio;</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III</w:t>
      </w:r>
      <w:r w:rsidRPr="00A45923">
        <w:rPr>
          <w:rFonts w:ascii="Arial" w:eastAsia="Times New Roman" w:hAnsi="Arial" w:cs="Arial"/>
          <w:color w:val="2F2F2F"/>
          <w:sz w:val="18"/>
          <w:szCs w:val="18"/>
          <w:lang w:eastAsia="es-MX"/>
        </w:rPr>
        <w:t>.- </w:t>
      </w:r>
      <w:r w:rsidRPr="00A45923">
        <w:rPr>
          <w:rFonts w:ascii="Arial" w:eastAsia="Times New Roman" w:hAnsi="Arial" w:cs="Arial"/>
          <w:b/>
          <w:bCs/>
          <w:color w:val="2F2F2F"/>
          <w:sz w:val="18"/>
          <w:szCs w:val="18"/>
          <w:lang w:eastAsia="es-MX"/>
        </w:rPr>
        <w:t>Conceder el registro de los sindicatos</w:t>
      </w:r>
      <w:r w:rsidRPr="00A45923">
        <w:rPr>
          <w:rFonts w:ascii="Arial" w:eastAsia="Times New Roman" w:hAnsi="Arial" w:cs="Arial"/>
          <w:color w:val="2F2F2F"/>
          <w:sz w:val="18"/>
          <w:szCs w:val="18"/>
          <w:lang w:eastAsia="es-MX"/>
        </w:rPr>
        <w:t> o, en su caso, dictar la cancelación del mismo;</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IV</w:t>
      </w:r>
      <w:r w:rsidRPr="00A45923">
        <w:rPr>
          <w:rFonts w:ascii="Arial" w:eastAsia="Times New Roman" w:hAnsi="Arial" w:cs="Arial"/>
          <w:color w:val="2F2F2F"/>
          <w:sz w:val="18"/>
          <w:szCs w:val="18"/>
          <w:lang w:eastAsia="es-MX"/>
        </w:rPr>
        <w:t xml:space="preserve">.- Conocer de los conflictos sindicales e </w:t>
      </w:r>
      <w:proofErr w:type="spellStart"/>
      <w:r w:rsidRPr="00A45923">
        <w:rPr>
          <w:rFonts w:ascii="Arial" w:eastAsia="Times New Roman" w:hAnsi="Arial" w:cs="Arial"/>
          <w:color w:val="2F2F2F"/>
          <w:sz w:val="18"/>
          <w:szCs w:val="18"/>
          <w:lang w:eastAsia="es-MX"/>
        </w:rPr>
        <w:t>intersindicales</w:t>
      </w:r>
      <w:proofErr w:type="spellEnd"/>
      <w:r w:rsidRPr="00A45923">
        <w:rPr>
          <w:rFonts w:ascii="Arial" w:eastAsia="Times New Roman" w:hAnsi="Arial" w:cs="Arial"/>
          <w:color w:val="2F2F2F"/>
          <w:sz w:val="18"/>
          <w:szCs w:val="18"/>
          <w:lang w:eastAsia="es-MX"/>
        </w:rPr>
        <w:t>, y</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lastRenderedPageBreak/>
        <w:t>V.</w:t>
      </w:r>
      <w:r w:rsidRPr="00A45923">
        <w:rPr>
          <w:rFonts w:ascii="Arial" w:eastAsia="Times New Roman" w:hAnsi="Arial" w:cs="Arial"/>
          <w:color w:val="2F2F2F"/>
          <w:sz w:val="18"/>
          <w:szCs w:val="18"/>
          <w:lang w:eastAsia="es-MX"/>
        </w:rPr>
        <w:t>- </w:t>
      </w:r>
      <w:r w:rsidRPr="00A45923">
        <w:rPr>
          <w:rFonts w:ascii="Arial" w:eastAsia="Times New Roman" w:hAnsi="Arial" w:cs="Arial"/>
          <w:b/>
          <w:bCs/>
          <w:color w:val="2F2F2F"/>
          <w:sz w:val="18"/>
          <w:szCs w:val="18"/>
          <w:lang w:eastAsia="es-MX"/>
        </w:rPr>
        <w:t>Efectuar el registro de las Condiciones Generales de Trabajo, Reglamentos de Escalafón, Reglamentos de las Comisiones Mixtas de Seguridad e Higiene y de los Estatutos de los Sindicatos</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Artículo 124-A</w:t>
      </w:r>
      <w:r w:rsidRPr="00A45923">
        <w:rPr>
          <w:rFonts w:ascii="Arial" w:eastAsia="Times New Roman" w:hAnsi="Arial" w:cs="Arial"/>
          <w:color w:val="2F2F2F"/>
          <w:sz w:val="18"/>
          <w:szCs w:val="18"/>
          <w:lang w:eastAsia="es-MX"/>
        </w:rPr>
        <w:t>.- Al Pleno del Tribunal Federal de Conciliación y Arbitraje corresponde:</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w:t>
      </w:r>
      <w:r w:rsidRPr="00A45923">
        <w:rPr>
          <w:rFonts w:ascii="Arial" w:eastAsia="Times New Roman" w:hAnsi="Arial" w:cs="Arial"/>
          <w:color w:val="2F2F2F"/>
          <w:sz w:val="18"/>
          <w:szCs w:val="18"/>
          <w:lang w:eastAsia="es-MX"/>
        </w:rPr>
        <w:t>- Expedir el Reglamento Interior y los manuales de organización del Tribunal;</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w:t>
      </w:r>
      <w:r w:rsidRPr="00A45923">
        <w:rPr>
          <w:rFonts w:ascii="Arial" w:eastAsia="Times New Roman" w:hAnsi="Arial" w:cs="Arial"/>
          <w:color w:val="2F2F2F"/>
          <w:sz w:val="18"/>
          <w:szCs w:val="18"/>
          <w:lang w:eastAsia="es-MX"/>
        </w:rPr>
        <w:t>.- Uniformar los criterios de carácter procesal de las diversas Salas, procurando evitar</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45923">
        <w:rPr>
          <w:rFonts w:ascii="Arial" w:eastAsia="Times New Roman" w:hAnsi="Arial" w:cs="Arial"/>
          <w:color w:val="2F2F2F"/>
          <w:sz w:val="18"/>
          <w:szCs w:val="18"/>
          <w:lang w:eastAsia="es-MX"/>
        </w:rPr>
        <w:t>sustenten</w:t>
      </w:r>
      <w:proofErr w:type="gramEnd"/>
      <w:r w:rsidRPr="00A45923">
        <w:rPr>
          <w:rFonts w:ascii="Arial" w:eastAsia="Times New Roman" w:hAnsi="Arial" w:cs="Arial"/>
          <w:color w:val="2F2F2F"/>
          <w:sz w:val="18"/>
          <w:szCs w:val="18"/>
          <w:lang w:eastAsia="es-MX"/>
        </w:rPr>
        <w:t xml:space="preserve"> tesis contradictorias;</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III.</w:t>
      </w:r>
      <w:r w:rsidRPr="00A45923">
        <w:rPr>
          <w:rFonts w:ascii="Arial" w:eastAsia="Times New Roman" w:hAnsi="Arial" w:cs="Arial"/>
          <w:color w:val="2F2F2F"/>
          <w:sz w:val="18"/>
          <w:szCs w:val="18"/>
          <w:lang w:eastAsia="es-MX"/>
        </w:rPr>
        <w:t>- </w:t>
      </w:r>
      <w:r w:rsidRPr="00A45923">
        <w:rPr>
          <w:rFonts w:ascii="Arial" w:eastAsia="Times New Roman" w:hAnsi="Arial" w:cs="Arial"/>
          <w:b/>
          <w:bCs/>
          <w:color w:val="2F2F2F"/>
          <w:sz w:val="18"/>
          <w:szCs w:val="18"/>
          <w:lang w:eastAsia="es-MX"/>
        </w:rPr>
        <w:t>Tramitar y resolver los asuntos a que se refieren las fracciones II, III, IV y V del artículo anterior</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IV.</w:t>
      </w:r>
      <w:r w:rsidRPr="00A45923">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V</w:t>
      </w:r>
      <w:r w:rsidRPr="00A45923">
        <w:rPr>
          <w:rFonts w:ascii="Arial" w:eastAsia="Times New Roman" w:hAnsi="Arial" w:cs="Arial"/>
          <w:color w:val="2F2F2F"/>
          <w:sz w:val="18"/>
          <w:szCs w:val="18"/>
          <w:lang w:eastAsia="es-MX"/>
        </w:rPr>
        <w:t>.- Las demás que le confieran las disposiciones legales aplicables."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Finalmente, los artículos 3, 6 y 8, del Reglamento Interior del Tribunal Federal de Conciliación y Arbitraje, disponen:</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Artículo 3</w:t>
      </w:r>
      <w:r w:rsidRPr="00A45923">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Artículo 6</w:t>
      </w:r>
      <w:r w:rsidRPr="00A45923">
        <w:rPr>
          <w:rFonts w:ascii="Arial" w:eastAsia="Times New Roman" w:hAnsi="Arial" w:cs="Arial"/>
          <w:color w:val="2F2F2F"/>
          <w:sz w:val="18"/>
          <w:szCs w:val="18"/>
          <w:lang w:eastAsia="es-MX"/>
        </w:rPr>
        <w:t>.- El Pleno es el órgano supremo del Tribunal y sus disposiciones son obligatorias.</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w:t>
      </w:r>
      <w:r w:rsidRPr="00A45923">
        <w:rPr>
          <w:rFonts w:ascii="Arial" w:eastAsia="Times New Roman" w:hAnsi="Arial" w:cs="Arial"/>
          <w:color w:val="2F2F2F"/>
          <w:sz w:val="18"/>
          <w:szCs w:val="18"/>
          <w:lang w:eastAsia="es-MX"/>
        </w:rPr>
        <w:t>)</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Artículo 8</w:t>
      </w:r>
      <w:r w:rsidRPr="00A45923">
        <w:rPr>
          <w:rFonts w:ascii="Arial" w:eastAsia="Times New Roman" w:hAnsi="Arial" w:cs="Arial"/>
          <w:color w:val="2F2F2F"/>
          <w:sz w:val="18"/>
          <w:szCs w:val="18"/>
          <w:lang w:eastAsia="es-MX"/>
        </w:rPr>
        <w:t>.- Al Pleno corresponde:</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w:t>
      </w:r>
      <w:r w:rsidRPr="00A45923">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w:t>
      </w:r>
      <w:r w:rsidRPr="00A45923">
        <w:rPr>
          <w:rFonts w:ascii="Arial" w:eastAsia="Times New Roman" w:hAnsi="Arial" w:cs="Arial"/>
          <w:color w:val="2F2F2F"/>
          <w:sz w:val="18"/>
          <w:szCs w:val="18"/>
          <w:lang w:eastAsia="es-MX"/>
        </w:rPr>
        <w:t>- Conocer y aprobar en su caso el Informe Anual de Actividades del Presidente del Tribunal;</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III.</w:t>
      </w:r>
      <w:r w:rsidRPr="00A45923">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IV.</w:t>
      </w:r>
      <w:r w:rsidRPr="00A45923">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V.</w:t>
      </w:r>
      <w:r w:rsidRPr="00A45923">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VI.</w:t>
      </w:r>
      <w:r w:rsidRPr="00A45923">
        <w:rPr>
          <w:rFonts w:ascii="Arial" w:eastAsia="Times New Roman" w:hAnsi="Arial" w:cs="Arial"/>
          <w:color w:val="2F2F2F"/>
          <w:sz w:val="18"/>
          <w:szCs w:val="18"/>
          <w:lang w:eastAsia="es-MX"/>
        </w:rPr>
        <w:t>- Las demás atribuciones que le confieran las disposiciones legales aplicables.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CUARTO. </w:t>
      </w:r>
      <w:r w:rsidRPr="00A45923">
        <w:rPr>
          <w:rFonts w:ascii="Arial" w:eastAsia="Times New Roman" w:hAnsi="Arial" w:cs="Arial"/>
          <w:color w:val="2F2F2F"/>
          <w:sz w:val="18"/>
          <w:szCs w:val="18"/>
          <w:lang w:eastAsia="es-MX"/>
        </w:rPr>
        <w:t>En este Tribunal Federal de Conciliación y Arbitraje existen registrados 169 Sindicatos, entre otros, el Sindicato Nacional de Trabajadores de la Educación (SNTE), el Sindicato Nacional de Trabajadores de la Secretaría de Salud (SNTSA) y el Sindicato Único de Trabajadores del Gobierno de la Ciudad de México (SUTGCDMX).</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QUINTO. </w:t>
      </w:r>
      <w:r w:rsidRPr="00A45923">
        <w:rPr>
          <w:rFonts w:ascii="Arial" w:eastAsia="Times New Roman" w:hAnsi="Arial" w:cs="Arial"/>
          <w:color w:val="2F2F2F"/>
          <w:sz w:val="18"/>
          <w:szCs w:val="18"/>
          <w:lang w:eastAsia="es-MX"/>
        </w:rPr>
        <w:t>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SEXTO. </w:t>
      </w:r>
      <w:r w:rsidRPr="00A45923">
        <w:rPr>
          <w:rFonts w:ascii="Arial" w:eastAsia="Times New Roman" w:hAnsi="Arial" w:cs="Arial"/>
          <w:color w:val="2F2F2F"/>
          <w:sz w:val="18"/>
          <w:szCs w:val="18"/>
          <w:lang w:eastAsia="es-MX"/>
        </w:rPr>
        <w:t xml:space="preserve">En virtud de que prevalecen las condiciones de emergencia sanitaria en la mayoría de los Estados de la República Mexicana, el Pleno de este Tribunal con el objeto de no dejar en estado </w:t>
      </w:r>
      <w:r w:rsidRPr="00A45923">
        <w:rPr>
          <w:rFonts w:ascii="Arial" w:eastAsia="Times New Roman" w:hAnsi="Arial" w:cs="Arial"/>
          <w:color w:val="2F2F2F"/>
          <w:sz w:val="18"/>
          <w:szCs w:val="18"/>
          <w:lang w:eastAsia="es-MX"/>
        </w:rPr>
        <w:lastRenderedPageBreak/>
        <w:t>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SÉPTIMO. </w:t>
      </w:r>
      <w:r w:rsidRPr="00A45923">
        <w:rPr>
          <w:rFonts w:ascii="Arial" w:eastAsia="Times New Roman" w:hAnsi="Arial" w:cs="Arial"/>
          <w:color w:val="2F2F2F"/>
          <w:sz w:val="18"/>
          <w:szCs w:val="18"/>
          <w:lang w:eastAsia="es-MX"/>
        </w:rPr>
        <w:t>Mediante acuerdo general 1/2022, del Pleno del Consejo de la Judicatura Federal, que reforma y adiciona el similar 21/2020, relativo a la reanudación de plazos y al regreso escalonado en los órganos jurisdiccionales ante la contingencia por el virus COVID-19, en relación con el periodo de vigencia, en sesión ordinaria de doce de enero de dos mil veintidós, se aprobó lo siguiente:</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ÚNICO. </w:t>
      </w:r>
      <w:r w:rsidRPr="00A45923">
        <w:rPr>
          <w:rFonts w:ascii="Arial" w:eastAsia="Times New Roman" w:hAnsi="Arial" w:cs="Arial"/>
          <w:color w:val="2F2F2F"/>
          <w:sz w:val="18"/>
          <w:szCs w:val="18"/>
          <w:lang w:eastAsia="es-MX"/>
        </w:rPr>
        <w:t>Se reforman los artículos 1 del Acuerdo General 21/2020 del Pleno del Consejo de la Judicatura Federal, relativo a la reanudación de plazos y al regreso escalonado en los órganos jurisdiccionales ante la contingencia por el virus COVID-19, para quedar como sigue:</w:t>
      </w:r>
    </w:p>
    <w:p w:rsidR="00A45923" w:rsidRPr="00A45923" w:rsidRDefault="00A45923" w:rsidP="00A45923">
      <w:pPr>
        <w:shd w:val="clear" w:color="auto" w:fill="FFFFFF"/>
        <w:spacing w:after="101" w:line="240" w:lineRule="auto"/>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w:t>
      </w:r>
      <w:r w:rsidRPr="00A45923">
        <w:rPr>
          <w:rFonts w:ascii="Arial" w:eastAsia="Times New Roman" w:hAnsi="Arial" w:cs="Arial"/>
          <w:b/>
          <w:bCs/>
          <w:color w:val="2F2F2F"/>
          <w:sz w:val="18"/>
          <w:szCs w:val="18"/>
          <w:lang w:eastAsia="es-MX"/>
        </w:rPr>
        <w:t>Artículo 1. Vigencia. </w:t>
      </w:r>
      <w:r w:rsidRPr="00A45923">
        <w:rPr>
          <w:rFonts w:ascii="Arial" w:eastAsia="Times New Roman" w:hAnsi="Arial" w:cs="Arial"/>
          <w:color w:val="2F2F2F"/>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1° de mayo de 2022, la actividad jurisdiccional se sujetará a las reglas establecidas en el presente acuerdo."</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A45923" w:rsidRPr="00A45923" w:rsidRDefault="00A45923" w:rsidP="00A45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5923">
        <w:rPr>
          <w:rFonts w:ascii="Times" w:eastAsia="Times New Roman" w:hAnsi="Times" w:cs="Times"/>
          <w:b/>
          <w:bCs/>
          <w:color w:val="2F2F2F"/>
          <w:sz w:val="18"/>
          <w:szCs w:val="18"/>
          <w:lang w:eastAsia="es-MX"/>
        </w:rPr>
        <w:t>ACUERDO:</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PRIMERO. </w:t>
      </w:r>
      <w:r w:rsidRPr="00A45923">
        <w:rPr>
          <w:rFonts w:ascii="Arial" w:eastAsia="Times New Roman" w:hAnsi="Arial" w:cs="Arial"/>
          <w:color w:val="2F2F2F"/>
          <w:sz w:val="18"/>
          <w:szCs w:val="18"/>
          <w:lang w:eastAsia="es-MX"/>
        </w:rPr>
        <w:t>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veintiocho de febrero de dos mil veintidós.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SEGUNDO. </w:t>
      </w:r>
      <w:r w:rsidRPr="00A45923">
        <w:rPr>
          <w:rFonts w:ascii="Arial" w:eastAsia="Times New Roman" w:hAnsi="Arial" w:cs="Arial"/>
          <w:color w:val="2F2F2F"/>
          <w:sz w:val="18"/>
          <w:szCs w:val="18"/>
          <w:lang w:eastAsia="es-MX"/>
        </w:rPr>
        <w:t>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A45923" w:rsidRPr="00A45923" w:rsidRDefault="00A45923" w:rsidP="00A45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5923">
        <w:rPr>
          <w:rFonts w:ascii="Times" w:eastAsia="Times New Roman" w:hAnsi="Times" w:cs="Times"/>
          <w:b/>
          <w:bCs/>
          <w:color w:val="2F2F2F"/>
          <w:sz w:val="18"/>
          <w:szCs w:val="18"/>
          <w:lang w:eastAsia="es-MX"/>
        </w:rPr>
        <w:t>TRANSITORIOS:</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PRIMERO. </w:t>
      </w:r>
      <w:r w:rsidRPr="00A45923">
        <w:rPr>
          <w:rFonts w:ascii="Arial" w:eastAsia="Times New Roman" w:hAnsi="Arial" w:cs="Arial"/>
          <w:color w:val="2F2F2F"/>
          <w:sz w:val="18"/>
          <w:szCs w:val="18"/>
          <w:lang w:eastAsia="es-MX"/>
        </w:rPr>
        <w:t>Publíquese en el Diario Oficial de la Federación y Boletín Laboral Burocrático.</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b/>
          <w:bCs/>
          <w:color w:val="2F2F2F"/>
          <w:sz w:val="18"/>
          <w:szCs w:val="18"/>
          <w:lang w:eastAsia="es-MX"/>
        </w:rPr>
        <w:t>SEGUNDO. </w:t>
      </w:r>
      <w:r w:rsidRPr="00A45923">
        <w:rPr>
          <w:rFonts w:ascii="Arial" w:eastAsia="Times New Roman" w:hAnsi="Arial" w:cs="Arial"/>
          <w:color w:val="2F2F2F"/>
          <w:sz w:val="18"/>
          <w:szCs w:val="18"/>
          <w:lang w:eastAsia="es-MX"/>
        </w:rPr>
        <w:t>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Así lo resolvieron por </w:t>
      </w:r>
      <w:r w:rsidRPr="00A45923">
        <w:rPr>
          <w:rFonts w:ascii="Arial" w:eastAsia="Times New Roman" w:hAnsi="Arial" w:cs="Arial"/>
          <w:b/>
          <w:bCs/>
          <w:color w:val="2F2F2F"/>
          <w:sz w:val="18"/>
          <w:szCs w:val="18"/>
          <w:lang w:eastAsia="es-MX"/>
        </w:rPr>
        <w:t>U N A N I M I D A D</w:t>
      </w:r>
      <w:r w:rsidRPr="00A45923">
        <w:rPr>
          <w:rFonts w:ascii="Arial" w:eastAsia="Times New Roman" w:hAnsi="Arial" w:cs="Arial"/>
          <w:color w:val="2F2F2F"/>
          <w:sz w:val="18"/>
          <w:szCs w:val="18"/>
          <w:lang w:eastAsia="es-MX"/>
        </w:rPr>
        <w:t> de votos, los Magistrados presentes en el Pleno del Tribunal Federal de Conciliación y Arbitraje, en sesión celebrada en esta fecha y con la ausencia del Magistrado Representante de los Trabajadores de la Cuarta Sala, de conformidad con el artículo 128, párrafo segundo de la Ley Federal de los Trabajadores al Servicio del Estado; con motivo de su fallecimiento.- El Presidente del Tribunal.- El Secretario General de Acuerdos.- Doy fe.</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6"/>
          <w:szCs w:val="16"/>
          <w:lang w:eastAsia="es-MX"/>
        </w:rPr>
      </w:pPr>
      <w:r w:rsidRPr="00A45923">
        <w:rPr>
          <w:rFonts w:ascii="Arial" w:eastAsia="Times New Roman" w:hAnsi="Arial" w:cs="Arial"/>
          <w:b/>
          <w:bCs/>
          <w:color w:val="2F2F2F"/>
          <w:sz w:val="16"/>
          <w:szCs w:val="16"/>
          <w:lang w:eastAsia="es-MX"/>
        </w:rPr>
        <w:t>EL SECRETARIO GENERAL DE ACUERDOS DEL TRIBUNAL FEDERAL DE CONCILIACIÓN Y ARBITRAJE:</w:t>
      </w:r>
    </w:p>
    <w:p w:rsidR="00A45923" w:rsidRPr="00A45923" w:rsidRDefault="00A45923" w:rsidP="00A45923">
      <w:pPr>
        <w:shd w:val="clear" w:color="auto" w:fill="FFFFFF"/>
        <w:spacing w:after="101" w:line="240" w:lineRule="auto"/>
        <w:jc w:val="center"/>
        <w:rPr>
          <w:rFonts w:ascii="Arial" w:eastAsia="Times New Roman" w:hAnsi="Arial" w:cs="Arial"/>
          <w:color w:val="2F2F2F"/>
          <w:sz w:val="16"/>
          <w:szCs w:val="16"/>
          <w:lang w:eastAsia="es-MX"/>
        </w:rPr>
      </w:pPr>
      <w:r w:rsidRPr="00A45923">
        <w:rPr>
          <w:rFonts w:ascii="Arial" w:eastAsia="Times New Roman" w:hAnsi="Arial" w:cs="Arial"/>
          <w:b/>
          <w:bCs/>
          <w:color w:val="2F2F2F"/>
          <w:sz w:val="16"/>
          <w:szCs w:val="16"/>
          <w:lang w:eastAsia="es-MX"/>
        </w:rPr>
        <w:t>CERTIFICA:</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t xml:space="preserve">Que este acuerdo mediante el cual, el Pleno del Tribunal Federal de Conciliación y Arbitraje en sesión celebrada el dieciocho de enero de dos mil veintidós,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w:t>
      </w:r>
      <w:proofErr w:type="spellStart"/>
      <w:r w:rsidRPr="00A45923">
        <w:rPr>
          <w:rFonts w:ascii="Arial" w:eastAsia="Times New Roman" w:hAnsi="Arial" w:cs="Arial"/>
          <w:color w:val="2F2F2F"/>
          <w:sz w:val="18"/>
          <w:szCs w:val="18"/>
          <w:lang w:eastAsia="es-MX"/>
        </w:rPr>
        <w:t>Laris</w:t>
      </w:r>
      <w:proofErr w:type="spellEnd"/>
      <w:r w:rsidRPr="00A45923">
        <w:rPr>
          <w:rFonts w:ascii="Arial" w:eastAsia="Times New Roman" w:hAnsi="Arial" w:cs="Arial"/>
          <w:color w:val="2F2F2F"/>
          <w:sz w:val="18"/>
          <w:szCs w:val="18"/>
          <w:lang w:eastAsia="es-MX"/>
        </w:rPr>
        <w:t xml:space="preserve"> González, Ismael Cruz López, Salvador </w:t>
      </w:r>
      <w:proofErr w:type="spellStart"/>
      <w:r w:rsidRPr="00A45923">
        <w:rPr>
          <w:rFonts w:ascii="Arial" w:eastAsia="Times New Roman" w:hAnsi="Arial" w:cs="Arial"/>
          <w:color w:val="2F2F2F"/>
          <w:sz w:val="18"/>
          <w:szCs w:val="18"/>
          <w:lang w:eastAsia="es-MX"/>
        </w:rPr>
        <w:t>Oyanguren</w:t>
      </w:r>
      <w:proofErr w:type="spellEnd"/>
      <w:r w:rsidRPr="00A45923">
        <w:rPr>
          <w:rFonts w:ascii="Arial" w:eastAsia="Times New Roman" w:hAnsi="Arial" w:cs="Arial"/>
          <w:color w:val="2F2F2F"/>
          <w:sz w:val="18"/>
          <w:szCs w:val="18"/>
          <w:lang w:eastAsia="es-MX"/>
        </w:rPr>
        <w:t xml:space="preserve"> </w:t>
      </w:r>
      <w:proofErr w:type="spellStart"/>
      <w:r w:rsidRPr="00A45923">
        <w:rPr>
          <w:rFonts w:ascii="Arial" w:eastAsia="Times New Roman" w:hAnsi="Arial" w:cs="Arial"/>
          <w:color w:val="2F2F2F"/>
          <w:sz w:val="18"/>
          <w:szCs w:val="18"/>
          <w:lang w:eastAsia="es-MX"/>
        </w:rPr>
        <w:t>Guedea</w:t>
      </w:r>
      <w:proofErr w:type="spellEnd"/>
      <w:r w:rsidRPr="00A45923">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A45923">
        <w:rPr>
          <w:rFonts w:ascii="Arial" w:eastAsia="Times New Roman" w:hAnsi="Arial" w:cs="Arial"/>
          <w:color w:val="2F2F2F"/>
          <w:sz w:val="18"/>
          <w:szCs w:val="18"/>
          <w:lang w:eastAsia="es-MX"/>
        </w:rPr>
        <w:t>Isabella</w:t>
      </w:r>
      <w:proofErr w:type="spellEnd"/>
      <w:r w:rsidRPr="00A45923">
        <w:rPr>
          <w:rFonts w:ascii="Arial" w:eastAsia="Times New Roman" w:hAnsi="Arial" w:cs="Arial"/>
          <w:color w:val="2F2F2F"/>
          <w:sz w:val="18"/>
          <w:szCs w:val="18"/>
          <w:lang w:eastAsia="es-MX"/>
        </w:rPr>
        <w:t xml:space="preserve"> Pedrero </w:t>
      </w:r>
      <w:proofErr w:type="spellStart"/>
      <w:r w:rsidRPr="00A45923">
        <w:rPr>
          <w:rFonts w:ascii="Arial" w:eastAsia="Times New Roman" w:hAnsi="Arial" w:cs="Arial"/>
          <w:color w:val="2F2F2F"/>
          <w:sz w:val="18"/>
          <w:szCs w:val="18"/>
          <w:lang w:eastAsia="es-MX"/>
        </w:rPr>
        <w:t>Iduarte</w:t>
      </w:r>
      <w:proofErr w:type="spellEnd"/>
      <w:r w:rsidRPr="00A45923">
        <w:rPr>
          <w:rFonts w:ascii="Arial" w:eastAsia="Times New Roman" w:hAnsi="Arial" w:cs="Arial"/>
          <w:color w:val="2F2F2F"/>
          <w:sz w:val="18"/>
          <w:szCs w:val="18"/>
          <w:lang w:eastAsia="es-MX"/>
        </w:rPr>
        <w:t xml:space="preserve">, Janitzio Ramón Guzmán Gutiérrez, Mario Emilio Garzón Chapa, Nicéforo Guerrero Reynoso, Carlos Francisco Quintana Roldán, María de Rosario Jiménez Moles, Rocío Rojas Pérez, Alfredo </w:t>
      </w:r>
      <w:proofErr w:type="spellStart"/>
      <w:r w:rsidRPr="00A45923">
        <w:rPr>
          <w:rFonts w:ascii="Arial" w:eastAsia="Times New Roman" w:hAnsi="Arial" w:cs="Arial"/>
          <w:color w:val="2F2F2F"/>
          <w:sz w:val="18"/>
          <w:szCs w:val="18"/>
          <w:lang w:eastAsia="es-MX"/>
        </w:rPr>
        <w:t>Freyssinier</w:t>
      </w:r>
      <w:proofErr w:type="spellEnd"/>
      <w:r w:rsidRPr="00A45923">
        <w:rPr>
          <w:rFonts w:ascii="Arial" w:eastAsia="Times New Roman" w:hAnsi="Arial" w:cs="Arial"/>
          <w:color w:val="2F2F2F"/>
          <w:sz w:val="18"/>
          <w:szCs w:val="18"/>
          <w:lang w:eastAsia="es-MX"/>
        </w:rPr>
        <w:t xml:space="preserve"> Álvarez, Mónica Arcelia </w:t>
      </w:r>
      <w:proofErr w:type="spellStart"/>
      <w:r w:rsidRPr="00A45923">
        <w:rPr>
          <w:rFonts w:ascii="Arial" w:eastAsia="Times New Roman" w:hAnsi="Arial" w:cs="Arial"/>
          <w:color w:val="2F2F2F"/>
          <w:sz w:val="18"/>
          <w:szCs w:val="18"/>
          <w:lang w:eastAsia="es-MX"/>
        </w:rPr>
        <w:t>Güicho</w:t>
      </w:r>
      <w:proofErr w:type="spellEnd"/>
      <w:r w:rsidRPr="00A45923">
        <w:rPr>
          <w:rFonts w:ascii="Arial" w:eastAsia="Times New Roman" w:hAnsi="Arial" w:cs="Arial"/>
          <w:color w:val="2F2F2F"/>
          <w:sz w:val="18"/>
          <w:szCs w:val="18"/>
          <w:lang w:eastAsia="es-MX"/>
        </w:rPr>
        <w:t xml:space="preserve"> González, Pedro José </w:t>
      </w:r>
      <w:proofErr w:type="spellStart"/>
      <w:r w:rsidRPr="00A45923">
        <w:rPr>
          <w:rFonts w:ascii="Arial" w:eastAsia="Times New Roman" w:hAnsi="Arial" w:cs="Arial"/>
          <w:color w:val="2F2F2F"/>
          <w:sz w:val="18"/>
          <w:szCs w:val="18"/>
          <w:lang w:eastAsia="es-MX"/>
        </w:rPr>
        <w:t>Escarcega</w:t>
      </w:r>
      <w:proofErr w:type="spellEnd"/>
      <w:r w:rsidRPr="00A45923">
        <w:rPr>
          <w:rFonts w:ascii="Arial" w:eastAsia="Times New Roman" w:hAnsi="Arial" w:cs="Arial"/>
          <w:color w:val="2F2F2F"/>
          <w:sz w:val="18"/>
          <w:szCs w:val="18"/>
          <w:lang w:eastAsia="es-MX"/>
        </w:rPr>
        <w:t xml:space="preserve"> Delgado, Fernando Ignacio Tovar y de Teresa, Jorge Arturo Flores Ochoa, Eduardo Arturo Hernández Castillón, Israel Requena Palafox, </w:t>
      </w:r>
      <w:proofErr w:type="spellStart"/>
      <w:r w:rsidRPr="00A45923">
        <w:rPr>
          <w:rFonts w:ascii="Arial" w:eastAsia="Times New Roman" w:hAnsi="Arial" w:cs="Arial"/>
          <w:color w:val="2F2F2F"/>
          <w:sz w:val="18"/>
          <w:szCs w:val="18"/>
          <w:lang w:eastAsia="es-MX"/>
        </w:rPr>
        <w:t>Álan</w:t>
      </w:r>
      <w:proofErr w:type="spellEnd"/>
      <w:r w:rsidRPr="00A45923">
        <w:rPr>
          <w:rFonts w:ascii="Arial" w:eastAsia="Times New Roman" w:hAnsi="Arial" w:cs="Arial"/>
          <w:color w:val="2F2F2F"/>
          <w:sz w:val="18"/>
          <w:szCs w:val="18"/>
          <w:lang w:eastAsia="es-MX"/>
        </w:rPr>
        <w:t xml:space="preserve"> Eduardo González </w:t>
      </w:r>
      <w:proofErr w:type="spellStart"/>
      <w:r w:rsidRPr="00A45923">
        <w:rPr>
          <w:rFonts w:ascii="Arial" w:eastAsia="Times New Roman" w:hAnsi="Arial" w:cs="Arial"/>
          <w:color w:val="2F2F2F"/>
          <w:sz w:val="18"/>
          <w:szCs w:val="18"/>
          <w:lang w:eastAsia="es-MX"/>
        </w:rPr>
        <w:t>Zebadúa</w:t>
      </w:r>
      <w:proofErr w:type="spellEnd"/>
      <w:r w:rsidRPr="00A45923">
        <w:rPr>
          <w:rFonts w:ascii="Arial" w:eastAsia="Times New Roman" w:hAnsi="Arial" w:cs="Arial"/>
          <w:color w:val="2F2F2F"/>
          <w:sz w:val="18"/>
          <w:szCs w:val="18"/>
          <w:lang w:eastAsia="es-MX"/>
        </w:rPr>
        <w:t> y Ángel Humberto Félix Estrada.- En la Ciudad de México, a los diecinueve días del mes de enero de dos mil veintidós.- Doy fe.</w:t>
      </w:r>
    </w:p>
    <w:p w:rsidR="00A45923" w:rsidRPr="00A45923" w:rsidRDefault="00A45923" w:rsidP="00A45923">
      <w:pPr>
        <w:shd w:val="clear" w:color="auto" w:fill="FFFFFF"/>
        <w:spacing w:after="101" w:line="240" w:lineRule="auto"/>
        <w:ind w:firstLine="288"/>
        <w:jc w:val="both"/>
        <w:rPr>
          <w:rFonts w:ascii="Arial" w:eastAsia="Times New Roman" w:hAnsi="Arial" w:cs="Arial"/>
          <w:color w:val="2F2F2F"/>
          <w:sz w:val="18"/>
          <w:szCs w:val="18"/>
          <w:lang w:eastAsia="es-MX"/>
        </w:rPr>
      </w:pPr>
      <w:r w:rsidRPr="00A45923">
        <w:rPr>
          <w:rFonts w:ascii="Arial" w:eastAsia="Times New Roman" w:hAnsi="Arial" w:cs="Arial"/>
          <w:color w:val="2F2F2F"/>
          <w:sz w:val="18"/>
          <w:szCs w:val="18"/>
          <w:lang w:eastAsia="es-MX"/>
        </w:rPr>
        <w:lastRenderedPageBreak/>
        <w:t>El Secretario General de Acuerdos, </w:t>
      </w:r>
      <w:r w:rsidRPr="00A45923">
        <w:rPr>
          <w:rFonts w:ascii="Arial" w:eastAsia="Times New Roman" w:hAnsi="Arial" w:cs="Arial"/>
          <w:b/>
          <w:bCs/>
          <w:color w:val="2F2F2F"/>
          <w:sz w:val="18"/>
          <w:szCs w:val="18"/>
          <w:lang w:eastAsia="es-MX"/>
        </w:rPr>
        <w:t xml:space="preserve">José </w:t>
      </w:r>
      <w:proofErr w:type="spellStart"/>
      <w:r w:rsidRPr="00A45923">
        <w:rPr>
          <w:rFonts w:ascii="Arial" w:eastAsia="Times New Roman" w:hAnsi="Arial" w:cs="Arial"/>
          <w:b/>
          <w:bCs/>
          <w:color w:val="2F2F2F"/>
          <w:sz w:val="18"/>
          <w:szCs w:val="18"/>
          <w:lang w:eastAsia="es-MX"/>
        </w:rPr>
        <w:t>Amauri</w:t>
      </w:r>
      <w:proofErr w:type="spellEnd"/>
      <w:r w:rsidRPr="00A45923">
        <w:rPr>
          <w:rFonts w:ascii="Arial" w:eastAsia="Times New Roman" w:hAnsi="Arial" w:cs="Arial"/>
          <w:b/>
          <w:bCs/>
          <w:color w:val="2F2F2F"/>
          <w:sz w:val="18"/>
          <w:szCs w:val="18"/>
          <w:lang w:eastAsia="es-MX"/>
        </w:rPr>
        <w:t xml:space="preserve"> Martínez Gutiérrez</w:t>
      </w:r>
      <w:r w:rsidRPr="00A45923">
        <w:rPr>
          <w:rFonts w:ascii="Arial" w:eastAsia="Times New Roman" w:hAnsi="Arial" w:cs="Arial"/>
          <w:color w:val="2F2F2F"/>
          <w:sz w:val="18"/>
          <w:szCs w:val="18"/>
          <w:lang w:eastAsia="es-MX"/>
        </w:rPr>
        <w:t>.- Rúbrica.</w:t>
      </w:r>
    </w:p>
    <w:sectPr w:rsidR="00A45923" w:rsidRPr="00A459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23"/>
    <w:rsid w:val="00857D96"/>
    <w:rsid w:val="00A4592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7038">
      <w:bodyDiv w:val="1"/>
      <w:marLeft w:val="0"/>
      <w:marRight w:val="0"/>
      <w:marTop w:val="0"/>
      <w:marBottom w:val="0"/>
      <w:divBdr>
        <w:top w:val="none" w:sz="0" w:space="0" w:color="auto"/>
        <w:left w:val="none" w:sz="0" w:space="0" w:color="auto"/>
        <w:bottom w:val="none" w:sz="0" w:space="0" w:color="auto"/>
        <w:right w:val="none" w:sz="0" w:space="0" w:color="auto"/>
      </w:divBdr>
      <w:divsChild>
        <w:div w:id="1172143665">
          <w:marLeft w:val="0"/>
          <w:marRight w:val="0"/>
          <w:marTop w:val="0"/>
          <w:marBottom w:val="101"/>
          <w:divBdr>
            <w:top w:val="none" w:sz="0" w:space="0" w:color="auto"/>
            <w:left w:val="none" w:sz="0" w:space="0" w:color="auto"/>
            <w:bottom w:val="none" w:sz="0" w:space="0" w:color="auto"/>
            <w:right w:val="none" w:sz="0" w:space="0" w:color="auto"/>
          </w:divBdr>
        </w:div>
        <w:div w:id="1348216823">
          <w:marLeft w:val="0"/>
          <w:marRight w:val="0"/>
          <w:marTop w:val="101"/>
          <w:marBottom w:val="101"/>
          <w:divBdr>
            <w:top w:val="none" w:sz="0" w:space="0" w:color="auto"/>
            <w:left w:val="none" w:sz="0" w:space="0" w:color="auto"/>
            <w:bottom w:val="none" w:sz="0" w:space="0" w:color="auto"/>
            <w:right w:val="none" w:sz="0" w:space="0" w:color="auto"/>
          </w:divBdr>
        </w:div>
        <w:div w:id="1081218404">
          <w:marLeft w:val="0"/>
          <w:marRight w:val="0"/>
          <w:marTop w:val="0"/>
          <w:marBottom w:val="101"/>
          <w:divBdr>
            <w:top w:val="none" w:sz="0" w:space="0" w:color="auto"/>
            <w:left w:val="none" w:sz="0" w:space="0" w:color="auto"/>
            <w:bottom w:val="none" w:sz="0" w:space="0" w:color="auto"/>
            <w:right w:val="none" w:sz="0" w:space="0" w:color="auto"/>
          </w:divBdr>
        </w:div>
        <w:div w:id="756249794">
          <w:marLeft w:val="0"/>
          <w:marRight w:val="0"/>
          <w:marTop w:val="0"/>
          <w:marBottom w:val="101"/>
          <w:divBdr>
            <w:top w:val="none" w:sz="0" w:space="0" w:color="auto"/>
            <w:left w:val="none" w:sz="0" w:space="0" w:color="auto"/>
            <w:bottom w:val="none" w:sz="0" w:space="0" w:color="auto"/>
            <w:right w:val="none" w:sz="0" w:space="0" w:color="auto"/>
          </w:divBdr>
        </w:div>
        <w:div w:id="1514144786">
          <w:marLeft w:val="0"/>
          <w:marRight w:val="0"/>
          <w:marTop w:val="0"/>
          <w:marBottom w:val="101"/>
          <w:divBdr>
            <w:top w:val="none" w:sz="0" w:space="0" w:color="auto"/>
            <w:left w:val="none" w:sz="0" w:space="0" w:color="auto"/>
            <w:bottom w:val="none" w:sz="0" w:space="0" w:color="auto"/>
            <w:right w:val="none" w:sz="0" w:space="0" w:color="auto"/>
          </w:divBdr>
        </w:div>
        <w:div w:id="560867513">
          <w:marLeft w:val="720"/>
          <w:marRight w:val="720"/>
          <w:marTop w:val="0"/>
          <w:marBottom w:val="101"/>
          <w:divBdr>
            <w:top w:val="none" w:sz="0" w:space="0" w:color="auto"/>
            <w:left w:val="none" w:sz="0" w:space="0" w:color="auto"/>
            <w:bottom w:val="none" w:sz="0" w:space="0" w:color="auto"/>
            <w:right w:val="none" w:sz="0" w:space="0" w:color="auto"/>
          </w:divBdr>
        </w:div>
        <w:div w:id="1178081442">
          <w:marLeft w:val="720"/>
          <w:marRight w:val="720"/>
          <w:marTop w:val="0"/>
          <w:marBottom w:val="101"/>
          <w:divBdr>
            <w:top w:val="none" w:sz="0" w:space="0" w:color="auto"/>
            <w:left w:val="none" w:sz="0" w:space="0" w:color="auto"/>
            <w:bottom w:val="none" w:sz="0" w:space="0" w:color="auto"/>
            <w:right w:val="none" w:sz="0" w:space="0" w:color="auto"/>
          </w:divBdr>
        </w:div>
        <w:div w:id="504131412">
          <w:marLeft w:val="720"/>
          <w:marRight w:val="720"/>
          <w:marTop w:val="0"/>
          <w:marBottom w:val="101"/>
          <w:divBdr>
            <w:top w:val="none" w:sz="0" w:space="0" w:color="auto"/>
            <w:left w:val="none" w:sz="0" w:space="0" w:color="auto"/>
            <w:bottom w:val="none" w:sz="0" w:space="0" w:color="auto"/>
            <w:right w:val="none" w:sz="0" w:space="0" w:color="auto"/>
          </w:divBdr>
        </w:div>
        <w:div w:id="32116579">
          <w:marLeft w:val="720"/>
          <w:marRight w:val="720"/>
          <w:marTop w:val="0"/>
          <w:marBottom w:val="101"/>
          <w:divBdr>
            <w:top w:val="none" w:sz="0" w:space="0" w:color="auto"/>
            <w:left w:val="none" w:sz="0" w:space="0" w:color="auto"/>
            <w:bottom w:val="none" w:sz="0" w:space="0" w:color="auto"/>
            <w:right w:val="none" w:sz="0" w:space="0" w:color="auto"/>
          </w:divBdr>
        </w:div>
        <w:div w:id="1133521717">
          <w:marLeft w:val="720"/>
          <w:marRight w:val="720"/>
          <w:marTop w:val="0"/>
          <w:marBottom w:val="101"/>
          <w:divBdr>
            <w:top w:val="none" w:sz="0" w:space="0" w:color="auto"/>
            <w:left w:val="none" w:sz="0" w:space="0" w:color="auto"/>
            <w:bottom w:val="none" w:sz="0" w:space="0" w:color="auto"/>
            <w:right w:val="none" w:sz="0" w:space="0" w:color="auto"/>
          </w:divBdr>
        </w:div>
        <w:div w:id="880438590">
          <w:marLeft w:val="0"/>
          <w:marRight w:val="0"/>
          <w:marTop w:val="0"/>
          <w:marBottom w:val="101"/>
          <w:divBdr>
            <w:top w:val="none" w:sz="0" w:space="0" w:color="auto"/>
            <w:left w:val="none" w:sz="0" w:space="0" w:color="auto"/>
            <w:bottom w:val="none" w:sz="0" w:space="0" w:color="auto"/>
            <w:right w:val="none" w:sz="0" w:space="0" w:color="auto"/>
          </w:divBdr>
        </w:div>
        <w:div w:id="472871916">
          <w:marLeft w:val="0"/>
          <w:marRight w:val="0"/>
          <w:marTop w:val="0"/>
          <w:marBottom w:val="101"/>
          <w:divBdr>
            <w:top w:val="none" w:sz="0" w:space="0" w:color="auto"/>
            <w:left w:val="none" w:sz="0" w:space="0" w:color="auto"/>
            <w:bottom w:val="none" w:sz="0" w:space="0" w:color="auto"/>
            <w:right w:val="none" w:sz="0" w:space="0" w:color="auto"/>
          </w:divBdr>
        </w:div>
        <w:div w:id="1261916926">
          <w:marLeft w:val="720"/>
          <w:marRight w:val="720"/>
          <w:marTop w:val="0"/>
          <w:marBottom w:val="101"/>
          <w:divBdr>
            <w:top w:val="none" w:sz="0" w:space="0" w:color="auto"/>
            <w:left w:val="none" w:sz="0" w:space="0" w:color="auto"/>
            <w:bottom w:val="none" w:sz="0" w:space="0" w:color="auto"/>
            <w:right w:val="none" w:sz="0" w:space="0" w:color="auto"/>
          </w:divBdr>
        </w:div>
        <w:div w:id="2015187243">
          <w:marLeft w:val="720"/>
          <w:marRight w:val="720"/>
          <w:marTop w:val="0"/>
          <w:marBottom w:val="101"/>
          <w:divBdr>
            <w:top w:val="none" w:sz="0" w:space="0" w:color="auto"/>
            <w:left w:val="none" w:sz="0" w:space="0" w:color="auto"/>
            <w:bottom w:val="none" w:sz="0" w:space="0" w:color="auto"/>
            <w:right w:val="none" w:sz="0" w:space="0" w:color="auto"/>
          </w:divBdr>
        </w:div>
        <w:div w:id="52581697">
          <w:marLeft w:val="720"/>
          <w:marRight w:val="720"/>
          <w:marTop w:val="0"/>
          <w:marBottom w:val="101"/>
          <w:divBdr>
            <w:top w:val="none" w:sz="0" w:space="0" w:color="auto"/>
            <w:left w:val="none" w:sz="0" w:space="0" w:color="auto"/>
            <w:bottom w:val="none" w:sz="0" w:space="0" w:color="auto"/>
            <w:right w:val="none" w:sz="0" w:space="0" w:color="auto"/>
          </w:divBdr>
        </w:div>
        <w:div w:id="1298147394">
          <w:marLeft w:val="720"/>
          <w:marRight w:val="720"/>
          <w:marTop w:val="0"/>
          <w:marBottom w:val="101"/>
          <w:divBdr>
            <w:top w:val="none" w:sz="0" w:space="0" w:color="auto"/>
            <w:left w:val="none" w:sz="0" w:space="0" w:color="auto"/>
            <w:bottom w:val="none" w:sz="0" w:space="0" w:color="auto"/>
            <w:right w:val="none" w:sz="0" w:space="0" w:color="auto"/>
          </w:divBdr>
        </w:div>
        <w:div w:id="2014914907">
          <w:marLeft w:val="720"/>
          <w:marRight w:val="720"/>
          <w:marTop w:val="0"/>
          <w:marBottom w:val="101"/>
          <w:divBdr>
            <w:top w:val="none" w:sz="0" w:space="0" w:color="auto"/>
            <w:left w:val="none" w:sz="0" w:space="0" w:color="auto"/>
            <w:bottom w:val="none" w:sz="0" w:space="0" w:color="auto"/>
            <w:right w:val="none" w:sz="0" w:space="0" w:color="auto"/>
          </w:divBdr>
        </w:div>
        <w:div w:id="754672915">
          <w:marLeft w:val="720"/>
          <w:marRight w:val="720"/>
          <w:marTop w:val="0"/>
          <w:marBottom w:val="101"/>
          <w:divBdr>
            <w:top w:val="none" w:sz="0" w:space="0" w:color="auto"/>
            <w:left w:val="none" w:sz="0" w:space="0" w:color="auto"/>
            <w:bottom w:val="none" w:sz="0" w:space="0" w:color="auto"/>
            <w:right w:val="none" w:sz="0" w:space="0" w:color="auto"/>
          </w:divBdr>
        </w:div>
        <w:div w:id="507596485">
          <w:marLeft w:val="720"/>
          <w:marRight w:val="720"/>
          <w:marTop w:val="0"/>
          <w:marBottom w:val="101"/>
          <w:divBdr>
            <w:top w:val="none" w:sz="0" w:space="0" w:color="auto"/>
            <w:left w:val="none" w:sz="0" w:space="0" w:color="auto"/>
            <w:bottom w:val="none" w:sz="0" w:space="0" w:color="auto"/>
            <w:right w:val="none" w:sz="0" w:space="0" w:color="auto"/>
          </w:divBdr>
        </w:div>
        <w:div w:id="1809974754">
          <w:marLeft w:val="720"/>
          <w:marRight w:val="720"/>
          <w:marTop w:val="0"/>
          <w:marBottom w:val="101"/>
          <w:divBdr>
            <w:top w:val="none" w:sz="0" w:space="0" w:color="auto"/>
            <w:left w:val="none" w:sz="0" w:space="0" w:color="auto"/>
            <w:bottom w:val="none" w:sz="0" w:space="0" w:color="auto"/>
            <w:right w:val="none" w:sz="0" w:space="0" w:color="auto"/>
          </w:divBdr>
        </w:div>
        <w:div w:id="658776119">
          <w:marLeft w:val="720"/>
          <w:marRight w:val="720"/>
          <w:marTop w:val="0"/>
          <w:marBottom w:val="101"/>
          <w:divBdr>
            <w:top w:val="none" w:sz="0" w:space="0" w:color="auto"/>
            <w:left w:val="none" w:sz="0" w:space="0" w:color="auto"/>
            <w:bottom w:val="none" w:sz="0" w:space="0" w:color="auto"/>
            <w:right w:val="none" w:sz="0" w:space="0" w:color="auto"/>
          </w:divBdr>
        </w:div>
        <w:div w:id="1780638514">
          <w:marLeft w:val="720"/>
          <w:marRight w:val="720"/>
          <w:marTop w:val="0"/>
          <w:marBottom w:val="101"/>
          <w:divBdr>
            <w:top w:val="none" w:sz="0" w:space="0" w:color="auto"/>
            <w:left w:val="none" w:sz="0" w:space="0" w:color="auto"/>
            <w:bottom w:val="none" w:sz="0" w:space="0" w:color="auto"/>
            <w:right w:val="none" w:sz="0" w:space="0" w:color="auto"/>
          </w:divBdr>
        </w:div>
        <w:div w:id="432093085">
          <w:marLeft w:val="720"/>
          <w:marRight w:val="720"/>
          <w:marTop w:val="0"/>
          <w:marBottom w:val="101"/>
          <w:divBdr>
            <w:top w:val="none" w:sz="0" w:space="0" w:color="auto"/>
            <w:left w:val="none" w:sz="0" w:space="0" w:color="auto"/>
            <w:bottom w:val="none" w:sz="0" w:space="0" w:color="auto"/>
            <w:right w:val="none" w:sz="0" w:space="0" w:color="auto"/>
          </w:divBdr>
        </w:div>
        <w:div w:id="486216000">
          <w:marLeft w:val="720"/>
          <w:marRight w:val="720"/>
          <w:marTop w:val="0"/>
          <w:marBottom w:val="101"/>
          <w:divBdr>
            <w:top w:val="none" w:sz="0" w:space="0" w:color="auto"/>
            <w:left w:val="none" w:sz="0" w:space="0" w:color="auto"/>
            <w:bottom w:val="none" w:sz="0" w:space="0" w:color="auto"/>
            <w:right w:val="none" w:sz="0" w:space="0" w:color="auto"/>
          </w:divBdr>
        </w:div>
        <w:div w:id="1238129610">
          <w:marLeft w:val="720"/>
          <w:marRight w:val="720"/>
          <w:marTop w:val="0"/>
          <w:marBottom w:val="101"/>
          <w:divBdr>
            <w:top w:val="none" w:sz="0" w:space="0" w:color="auto"/>
            <w:left w:val="none" w:sz="0" w:space="0" w:color="auto"/>
            <w:bottom w:val="none" w:sz="0" w:space="0" w:color="auto"/>
            <w:right w:val="none" w:sz="0" w:space="0" w:color="auto"/>
          </w:divBdr>
        </w:div>
        <w:div w:id="2090928438">
          <w:marLeft w:val="0"/>
          <w:marRight w:val="0"/>
          <w:marTop w:val="0"/>
          <w:marBottom w:val="101"/>
          <w:divBdr>
            <w:top w:val="none" w:sz="0" w:space="0" w:color="auto"/>
            <w:left w:val="none" w:sz="0" w:space="0" w:color="auto"/>
            <w:bottom w:val="none" w:sz="0" w:space="0" w:color="auto"/>
            <w:right w:val="none" w:sz="0" w:space="0" w:color="auto"/>
          </w:divBdr>
        </w:div>
        <w:div w:id="2005087115">
          <w:marLeft w:val="720"/>
          <w:marRight w:val="720"/>
          <w:marTop w:val="0"/>
          <w:marBottom w:val="101"/>
          <w:divBdr>
            <w:top w:val="none" w:sz="0" w:space="0" w:color="auto"/>
            <w:left w:val="none" w:sz="0" w:space="0" w:color="auto"/>
            <w:bottom w:val="none" w:sz="0" w:space="0" w:color="auto"/>
            <w:right w:val="none" w:sz="0" w:space="0" w:color="auto"/>
          </w:divBdr>
        </w:div>
        <w:div w:id="1639802277">
          <w:marLeft w:val="720"/>
          <w:marRight w:val="720"/>
          <w:marTop w:val="0"/>
          <w:marBottom w:val="101"/>
          <w:divBdr>
            <w:top w:val="none" w:sz="0" w:space="0" w:color="auto"/>
            <w:left w:val="none" w:sz="0" w:space="0" w:color="auto"/>
            <w:bottom w:val="none" w:sz="0" w:space="0" w:color="auto"/>
            <w:right w:val="none" w:sz="0" w:space="0" w:color="auto"/>
          </w:divBdr>
        </w:div>
        <w:div w:id="318311190">
          <w:marLeft w:val="720"/>
          <w:marRight w:val="720"/>
          <w:marTop w:val="0"/>
          <w:marBottom w:val="101"/>
          <w:divBdr>
            <w:top w:val="none" w:sz="0" w:space="0" w:color="auto"/>
            <w:left w:val="none" w:sz="0" w:space="0" w:color="auto"/>
            <w:bottom w:val="none" w:sz="0" w:space="0" w:color="auto"/>
            <w:right w:val="none" w:sz="0" w:space="0" w:color="auto"/>
          </w:divBdr>
        </w:div>
        <w:div w:id="1653758223">
          <w:marLeft w:val="720"/>
          <w:marRight w:val="720"/>
          <w:marTop w:val="0"/>
          <w:marBottom w:val="101"/>
          <w:divBdr>
            <w:top w:val="none" w:sz="0" w:space="0" w:color="auto"/>
            <w:left w:val="none" w:sz="0" w:space="0" w:color="auto"/>
            <w:bottom w:val="none" w:sz="0" w:space="0" w:color="auto"/>
            <w:right w:val="none" w:sz="0" w:space="0" w:color="auto"/>
          </w:divBdr>
        </w:div>
        <w:div w:id="1124889576">
          <w:marLeft w:val="720"/>
          <w:marRight w:val="720"/>
          <w:marTop w:val="0"/>
          <w:marBottom w:val="101"/>
          <w:divBdr>
            <w:top w:val="none" w:sz="0" w:space="0" w:color="auto"/>
            <w:left w:val="none" w:sz="0" w:space="0" w:color="auto"/>
            <w:bottom w:val="none" w:sz="0" w:space="0" w:color="auto"/>
            <w:right w:val="none" w:sz="0" w:space="0" w:color="auto"/>
          </w:divBdr>
        </w:div>
        <w:div w:id="1013415016">
          <w:marLeft w:val="720"/>
          <w:marRight w:val="720"/>
          <w:marTop w:val="0"/>
          <w:marBottom w:val="101"/>
          <w:divBdr>
            <w:top w:val="none" w:sz="0" w:space="0" w:color="auto"/>
            <w:left w:val="none" w:sz="0" w:space="0" w:color="auto"/>
            <w:bottom w:val="none" w:sz="0" w:space="0" w:color="auto"/>
            <w:right w:val="none" w:sz="0" w:space="0" w:color="auto"/>
          </w:divBdr>
        </w:div>
        <w:div w:id="1041636016">
          <w:marLeft w:val="720"/>
          <w:marRight w:val="720"/>
          <w:marTop w:val="0"/>
          <w:marBottom w:val="101"/>
          <w:divBdr>
            <w:top w:val="none" w:sz="0" w:space="0" w:color="auto"/>
            <w:left w:val="none" w:sz="0" w:space="0" w:color="auto"/>
            <w:bottom w:val="none" w:sz="0" w:space="0" w:color="auto"/>
            <w:right w:val="none" w:sz="0" w:space="0" w:color="auto"/>
          </w:divBdr>
        </w:div>
        <w:div w:id="1597053793">
          <w:marLeft w:val="720"/>
          <w:marRight w:val="720"/>
          <w:marTop w:val="0"/>
          <w:marBottom w:val="101"/>
          <w:divBdr>
            <w:top w:val="none" w:sz="0" w:space="0" w:color="auto"/>
            <w:left w:val="none" w:sz="0" w:space="0" w:color="auto"/>
            <w:bottom w:val="none" w:sz="0" w:space="0" w:color="auto"/>
            <w:right w:val="none" w:sz="0" w:space="0" w:color="auto"/>
          </w:divBdr>
        </w:div>
        <w:div w:id="1782914951">
          <w:marLeft w:val="720"/>
          <w:marRight w:val="720"/>
          <w:marTop w:val="0"/>
          <w:marBottom w:val="101"/>
          <w:divBdr>
            <w:top w:val="none" w:sz="0" w:space="0" w:color="auto"/>
            <w:left w:val="none" w:sz="0" w:space="0" w:color="auto"/>
            <w:bottom w:val="none" w:sz="0" w:space="0" w:color="auto"/>
            <w:right w:val="none" w:sz="0" w:space="0" w:color="auto"/>
          </w:divBdr>
        </w:div>
        <w:div w:id="7872423">
          <w:marLeft w:val="720"/>
          <w:marRight w:val="720"/>
          <w:marTop w:val="0"/>
          <w:marBottom w:val="101"/>
          <w:divBdr>
            <w:top w:val="none" w:sz="0" w:space="0" w:color="auto"/>
            <w:left w:val="none" w:sz="0" w:space="0" w:color="auto"/>
            <w:bottom w:val="none" w:sz="0" w:space="0" w:color="auto"/>
            <w:right w:val="none" w:sz="0" w:space="0" w:color="auto"/>
          </w:divBdr>
        </w:div>
        <w:div w:id="1694266374">
          <w:marLeft w:val="720"/>
          <w:marRight w:val="720"/>
          <w:marTop w:val="0"/>
          <w:marBottom w:val="101"/>
          <w:divBdr>
            <w:top w:val="none" w:sz="0" w:space="0" w:color="auto"/>
            <w:left w:val="none" w:sz="0" w:space="0" w:color="auto"/>
            <w:bottom w:val="none" w:sz="0" w:space="0" w:color="auto"/>
            <w:right w:val="none" w:sz="0" w:space="0" w:color="auto"/>
          </w:divBdr>
        </w:div>
        <w:div w:id="767194147">
          <w:marLeft w:val="0"/>
          <w:marRight w:val="0"/>
          <w:marTop w:val="0"/>
          <w:marBottom w:val="101"/>
          <w:divBdr>
            <w:top w:val="none" w:sz="0" w:space="0" w:color="auto"/>
            <w:left w:val="none" w:sz="0" w:space="0" w:color="auto"/>
            <w:bottom w:val="none" w:sz="0" w:space="0" w:color="auto"/>
            <w:right w:val="none" w:sz="0" w:space="0" w:color="auto"/>
          </w:divBdr>
        </w:div>
        <w:div w:id="114183950">
          <w:marLeft w:val="0"/>
          <w:marRight w:val="0"/>
          <w:marTop w:val="0"/>
          <w:marBottom w:val="101"/>
          <w:divBdr>
            <w:top w:val="none" w:sz="0" w:space="0" w:color="auto"/>
            <w:left w:val="none" w:sz="0" w:space="0" w:color="auto"/>
            <w:bottom w:val="none" w:sz="0" w:space="0" w:color="auto"/>
            <w:right w:val="none" w:sz="0" w:space="0" w:color="auto"/>
          </w:divBdr>
        </w:div>
        <w:div w:id="2066876342">
          <w:marLeft w:val="0"/>
          <w:marRight w:val="0"/>
          <w:marTop w:val="0"/>
          <w:marBottom w:val="101"/>
          <w:divBdr>
            <w:top w:val="none" w:sz="0" w:space="0" w:color="auto"/>
            <w:left w:val="none" w:sz="0" w:space="0" w:color="auto"/>
            <w:bottom w:val="none" w:sz="0" w:space="0" w:color="auto"/>
            <w:right w:val="none" w:sz="0" w:space="0" w:color="auto"/>
          </w:divBdr>
        </w:div>
        <w:div w:id="1747260539">
          <w:marLeft w:val="0"/>
          <w:marRight w:val="0"/>
          <w:marTop w:val="0"/>
          <w:marBottom w:val="101"/>
          <w:divBdr>
            <w:top w:val="none" w:sz="0" w:space="0" w:color="auto"/>
            <w:left w:val="none" w:sz="0" w:space="0" w:color="auto"/>
            <w:bottom w:val="none" w:sz="0" w:space="0" w:color="auto"/>
            <w:right w:val="none" w:sz="0" w:space="0" w:color="auto"/>
          </w:divBdr>
        </w:div>
        <w:div w:id="936670394">
          <w:marLeft w:val="0"/>
          <w:marRight w:val="0"/>
          <w:marTop w:val="0"/>
          <w:marBottom w:val="101"/>
          <w:divBdr>
            <w:top w:val="none" w:sz="0" w:space="0" w:color="auto"/>
            <w:left w:val="none" w:sz="0" w:space="0" w:color="auto"/>
            <w:bottom w:val="none" w:sz="0" w:space="0" w:color="auto"/>
            <w:right w:val="none" w:sz="0" w:space="0" w:color="auto"/>
          </w:divBdr>
        </w:div>
        <w:div w:id="732585353">
          <w:marLeft w:val="0"/>
          <w:marRight w:val="0"/>
          <w:marTop w:val="0"/>
          <w:marBottom w:val="101"/>
          <w:divBdr>
            <w:top w:val="none" w:sz="0" w:space="0" w:color="auto"/>
            <w:left w:val="none" w:sz="0" w:space="0" w:color="auto"/>
            <w:bottom w:val="none" w:sz="0" w:space="0" w:color="auto"/>
            <w:right w:val="none" w:sz="0" w:space="0" w:color="auto"/>
          </w:divBdr>
        </w:div>
        <w:div w:id="1736469795">
          <w:marLeft w:val="720"/>
          <w:marRight w:val="720"/>
          <w:marTop w:val="0"/>
          <w:marBottom w:val="101"/>
          <w:divBdr>
            <w:top w:val="none" w:sz="0" w:space="0" w:color="auto"/>
            <w:left w:val="none" w:sz="0" w:space="0" w:color="auto"/>
            <w:bottom w:val="none" w:sz="0" w:space="0" w:color="auto"/>
            <w:right w:val="none" w:sz="0" w:space="0" w:color="auto"/>
          </w:divBdr>
        </w:div>
        <w:div w:id="30768386">
          <w:marLeft w:val="720"/>
          <w:marRight w:val="720"/>
          <w:marTop w:val="0"/>
          <w:marBottom w:val="101"/>
          <w:divBdr>
            <w:top w:val="none" w:sz="0" w:space="0" w:color="auto"/>
            <w:left w:val="none" w:sz="0" w:space="0" w:color="auto"/>
            <w:bottom w:val="none" w:sz="0" w:space="0" w:color="auto"/>
            <w:right w:val="none" w:sz="0" w:space="0" w:color="auto"/>
          </w:divBdr>
        </w:div>
        <w:div w:id="1627852141">
          <w:marLeft w:val="0"/>
          <w:marRight w:val="0"/>
          <w:marTop w:val="0"/>
          <w:marBottom w:val="101"/>
          <w:divBdr>
            <w:top w:val="none" w:sz="0" w:space="0" w:color="auto"/>
            <w:left w:val="none" w:sz="0" w:space="0" w:color="auto"/>
            <w:bottom w:val="none" w:sz="0" w:space="0" w:color="auto"/>
            <w:right w:val="none" w:sz="0" w:space="0" w:color="auto"/>
          </w:divBdr>
        </w:div>
        <w:div w:id="280763721">
          <w:marLeft w:val="0"/>
          <w:marRight w:val="0"/>
          <w:marTop w:val="101"/>
          <w:marBottom w:val="101"/>
          <w:divBdr>
            <w:top w:val="none" w:sz="0" w:space="0" w:color="auto"/>
            <w:left w:val="none" w:sz="0" w:space="0" w:color="auto"/>
            <w:bottom w:val="none" w:sz="0" w:space="0" w:color="auto"/>
            <w:right w:val="none" w:sz="0" w:space="0" w:color="auto"/>
          </w:divBdr>
        </w:div>
        <w:div w:id="99840869">
          <w:marLeft w:val="0"/>
          <w:marRight w:val="0"/>
          <w:marTop w:val="0"/>
          <w:marBottom w:val="101"/>
          <w:divBdr>
            <w:top w:val="none" w:sz="0" w:space="0" w:color="auto"/>
            <w:left w:val="none" w:sz="0" w:space="0" w:color="auto"/>
            <w:bottom w:val="none" w:sz="0" w:space="0" w:color="auto"/>
            <w:right w:val="none" w:sz="0" w:space="0" w:color="auto"/>
          </w:divBdr>
        </w:div>
        <w:div w:id="292294823">
          <w:marLeft w:val="0"/>
          <w:marRight w:val="0"/>
          <w:marTop w:val="0"/>
          <w:marBottom w:val="101"/>
          <w:divBdr>
            <w:top w:val="none" w:sz="0" w:space="0" w:color="auto"/>
            <w:left w:val="none" w:sz="0" w:space="0" w:color="auto"/>
            <w:bottom w:val="none" w:sz="0" w:space="0" w:color="auto"/>
            <w:right w:val="none" w:sz="0" w:space="0" w:color="auto"/>
          </w:divBdr>
        </w:div>
        <w:div w:id="1435394313">
          <w:marLeft w:val="0"/>
          <w:marRight w:val="0"/>
          <w:marTop w:val="101"/>
          <w:marBottom w:val="101"/>
          <w:divBdr>
            <w:top w:val="none" w:sz="0" w:space="0" w:color="auto"/>
            <w:left w:val="none" w:sz="0" w:space="0" w:color="auto"/>
            <w:bottom w:val="none" w:sz="0" w:space="0" w:color="auto"/>
            <w:right w:val="none" w:sz="0" w:space="0" w:color="auto"/>
          </w:divBdr>
        </w:div>
        <w:div w:id="725379470">
          <w:marLeft w:val="0"/>
          <w:marRight w:val="0"/>
          <w:marTop w:val="0"/>
          <w:marBottom w:val="101"/>
          <w:divBdr>
            <w:top w:val="none" w:sz="0" w:space="0" w:color="auto"/>
            <w:left w:val="none" w:sz="0" w:space="0" w:color="auto"/>
            <w:bottom w:val="none" w:sz="0" w:space="0" w:color="auto"/>
            <w:right w:val="none" w:sz="0" w:space="0" w:color="auto"/>
          </w:divBdr>
        </w:div>
        <w:div w:id="354771688">
          <w:marLeft w:val="0"/>
          <w:marRight w:val="0"/>
          <w:marTop w:val="0"/>
          <w:marBottom w:val="101"/>
          <w:divBdr>
            <w:top w:val="none" w:sz="0" w:space="0" w:color="auto"/>
            <w:left w:val="none" w:sz="0" w:space="0" w:color="auto"/>
            <w:bottom w:val="none" w:sz="0" w:space="0" w:color="auto"/>
            <w:right w:val="none" w:sz="0" w:space="0" w:color="auto"/>
          </w:divBdr>
        </w:div>
        <w:div w:id="218054319">
          <w:marLeft w:val="0"/>
          <w:marRight w:val="0"/>
          <w:marTop w:val="0"/>
          <w:marBottom w:val="101"/>
          <w:divBdr>
            <w:top w:val="none" w:sz="0" w:space="0" w:color="auto"/>
            <w:left w:val="none" w:sz="0" w:space="0" w:color="auto"/>
            <w:bottom w:val="none" w:sz="0" w:space="0" w:color="auto"/>
            <w:right w:val="none" w:sz="0" w:space="0" w:color="auto"/>
          </w:divBdr>
        </w:div>
        <w:div w:id="1239053306">
          <w:marLeft w:val="0"/>
          <w:marRight w:val="0"/>
          <w:marTop w:val="0"/>
          <w:marBottom w:val="101"/>
          <w:divBdr>
            <w:top w:val="none" w:sz="0" w:space="0" w:color="auto"/>
            <w:left w:val="none" w:sz="0" w:space="0" w:color="auto"/>
            <w:bottom w:val="none" w:sz="0" w:space="0" w:color="auto"/>
            <w:right w:val="none" w:sz="0" w:space="0" w:color="auto"/>
          </w:divBdr>
        </w:div>
        <w:div w:id="1702823847">
          <w:marLeft w:val="0"/>
          <w:marRight w:val="0"/>
          <w:marTop w:val="0"/>
          <w:marBottom w:val="101"/>
          <w:divBdr>
            <w:top w:val="none" w:sz="0" w:space="0" w:color="auto"/>
            <w:left w:val="none" w:sz="0" w:space="0" w:color="auto"/>
            <w:bottom w:val="none" w:sz="0" w:space="0" w:color="auto"/>
            <w:right w:val="none" w:sz="0" w:space="0" w:color="auto"/>
          </w:divBdr>
        </w:div>
        <w:div w:id="592905165">
          <w:marLeft w:val="0"/>
          <w:marRight w:val="0"/>
          <w:marTop w:val="0"/>
          <w:marBottom w:val="101"/>
          <w:divBdr>
            <w:top w:val="none" w:sz="0" w:space="0" w:color="auto"/>
            <w:left w:val="none" w:sz="0" w:space="0" w:color="auto"/>
            <w:bottom w:val="none" w:sz="0" w:space="0" w:color="auto"/>
            <w:right w:val="none" w:sz="0" w:space="0" w:color="auto"/>
          </w:divBdr>
        </w:div>
        <w:div w:id="14952953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2003</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2022-02-03T14:36:00Z</dcterms:created>
  <dcterms:modified xsi:type="dcterms:W3CDTF">2022-02-03T14:38:00Z</dcterms:modified>
</cp:coreProperties>
</file>