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Aguascalientes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AGUASCALIENTES.</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Aguascalientes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Aguascalientes</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36, 46 fracción VII, inciso a), 48, 49, 50 y 63 de la Constitución Política del Estado de Aguascalientes; 1, 2, 3, 4, 9, 10, fracción IV, 11, 15, fracciones I y III, 22, 24, fracciones II, IX, X y XII, 27, fracción VIII, 29, fracción V y 31, fracciones IV, V y VI, de la Ley Orgánica de la Administración Pública del Estado de Aguascalientes, 11 fracción XXVII del Reglamento Interior de la Secretaría General de Gobierno del Estado de Aguascalientes; 1, 2, 5, 6, fracciones V, XV, XVIII, XXIII y XXV y 24 del Reglamento Interior de la Secretaría de Finanzas del Estado de Aguascalientes, ambas partes</w:t>
      </w:r>
    </w:p>
    <w:p w:rsidR="00000000" w:rsidDel="00000000" w:rsidP="00000000" w:rsidRDefault="00000000" w:rsidRPr="00000000" w14:paraId="0000000E">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Aguascalientes</w:t>
      </w:r>
      <w:r w:rsidDel="00000000" w:rsidR="00000000" w:rsidRPr="00000000">
        <w:rPr>
          <w:rFonts w:ascii="Verdana" w:cs="Verdana" w:eastAsia="Verdana" w:hAnsi="Verdana"/>
          <w:color w:val="2f2f2f"/>
          <w:sz w:val="20"/>
          <w:szCs w:val="20"/>
          <w:rtl w:val="0"/>
        </w:rPr>
        <w:t xml:space="preserve"> para quedar de la siguiente manera:</w:t>
      </w:r>
    </w:p>
    <w:p w:rsidR="00000000" w:rsidDel="00000000" w:rsidP="00000000" w:rsidRDefault="00000000" w:rsidRPr="00000000" w14:paraId="00000011">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marzo de 2020.- Por el Estado: el Gobernador Constitucional, </w:t>
      </w:r>
      <w:r w:rsidDel="00000000" w:rsidR="00000000" w:rsidRPr="00000000">
        <w:rPr>
          <w:rFonts w:ascii="Verdana" w:cs="Verdana" w:eastAsia="Verdana" w:hAnsi="Verdana"/>
          <w:b w:val="1"/>
          <w:color w:val="2f2f2f"/>
          <w:sz w:val="20"/>
          <w:szCs w:val="20"/>
          <w:rtl w:val="0"/>
        </w:rPr>
        <w:t xml:space="preserve">Martín Orozco Sandoval</w:t>
      </w:r>
      <w:r w:rsidDel="00000000" w:rsidR="00000000" w:rsidRPr="00000000">
        <w:rPr>
          <w:rFonts w:ascii="Verdana" w:cs="Verdana" w:eastAsia="Verdana" w:hAnsi="Verdana"/>
          <w:color w:val="2f2f2f"/>
          <w:sz w:val="20"/>
          <w:szCs w:val="20"/>
          <w:rtl w:val="0"/>
        </w:rPr>
        <w:t xml:space="preserve">.- Rúbrica.- La Secretaria General de Gobierno, </w:t>
      </w:r>
      <w:r w:rsidDel="00000000" w:rsidR="00000000" w:rsidRPr="00000000">
        <w:rPr>
          <w:rFonts w:ascii="Verdana" w:cs="Verdana" w:eastAsia="Verdana" w:hAnsi="Verdana"/>
          <w:b w:val="1"/>
          <w:color w:val="2f2f2f"/>
          <w:sz w:val="20"/>
          <w:szCs w:val="20"/>
          <w:rtl w:val="0"/>
        </w:rPr>
        <w:t xml:space="preserve">Siomar Eline Estrada Cruz</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Carlos de Jesús Magallanes García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