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62" w:rsidRPr="00841D9A" w:rsidRDefault="00261862" w:rsidP="00261862">
      <w:pPr>
        <w:jc w:val="center"/>
        <w:rPr>
          <w:rFonts w:ascii="Verdana" w:eastAsia="Verdana" w:hAnsi="Verdana" w:cs="Verdana"/>
          <w:b/>
          <w:color w:val="0000FF"/>
          <w:sz w:val="24"/>
          <w:szCs w:val="24"/>
        </w:rPr>
      </w:pPr>
      <w:r w:rsidRPr="00261862">
        <w:rPr>
          <w:rFonts w:ascii="Verdana" w:eastAsia="Verdana" w:hAnsi="Verdana" w:cs="Verdana"/>
          <w:b/>
          <w:color w:val="0000FF"/>
          <w:sz w:val="24"/>
          <w:szCs w:val="24"/>
        </w:rPr>
        <w:t>ACUERDO General 34/2022 del Pleno del Consejo de la Judicatura Federal, relativo a la conclusión de funciones de los Tribunales Unitarios Primero y Segundo del Centro Auxiliar de la Quinta Región, con residencia en Culiacán, Sinaloa.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noviembre</w:t>
      </w:r>
      <w:r w:rsidRPr="00841D9A">
        <w:rPr>
          <w:rFonts w:ascii="Verdana" w:eastAsia="Verdana" w:hAnsi="Verdana" w:cs="Verdana"/>
          <w:b/>
          <w:color w:val="0000FF"/>
          <w:sz w:val="24"/>
          <w:szCs w:val="24"/>
        </w:rPr>
        <w:t xml:space="preserve"> de 2022)</w:t>
      </w:r>
    </w:p>
    <w:bookmarkEnd w:id="0"/>
    <w:p w:rsidR="00261862" w:rsidRDefault="00261862" w:rsidP="00261862">
      <w:pPr>
        <w:jc w:val="both"/>
        <w:rPr>
          <w:rFonts w:ascii="Arial" w:hAnsi="Arial" w:cs="Arial"/>
          <w:b/>
          <w:color w:val="2F2F2F"/>
          <w:sz w:val="18"/>
          <w:szCs w:val="18"/>
          <w:shd w:val="clear" w:color="auto" w:fill="FFFFFF"/>
        </w:rPr>
      </w:pPr>
      <w:r w:rsidRPr="00CA2F80">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261862" w:rsidRPr="00261862" w:rsidRDefault="00261862" w:rsidP="00261862">
      <w:pPr>
        <w:shd w:val="clear" w:color="auto" w:fill="FFFFFF"/>
        <w:spacing w:after="80" w:line="240" w:lineRule="auto"/>
        <w:ind w:firstLine="288"/>
        <w:jc w:val="both"/>
        <w:rPr>
          <w:rFonts w:ascii="Arial" w:eastAsia="Times New Roman" w:hAnsi="Arial" w:cs="Arial"/>
          <w:color w:val="2F2F2F"/>
          <w:sz w:val="16"/>
          <w:szCs w:val="16"/>
          <w:lang w:eastAsia="es-MX"/>
        </w:rPr>
      </w:pPr>
      <w:r w:rsidRPr="00261862">
        <w:rPr>
          <w:rFonts w:ascii="Arial" w:eastAsia="Times New Roman" w:hAnsi="Arial" w:cs="Arial"/>
          <w:color w:val="2F2F2F"/>
          <w:sz w:val="16"/>
          <w:szCs w:val="16"/>
          <w:lang w:eastAsia="es-MX"/>
        </w:rPr>
        <w:t>ACUERDO GENERAL 34/2022, DEL PLENO DEL CONSEJO DE LA JUDICATURA FEDERAL, RELATIVO A LA CONCLUSIÓN DE FUNCIONES DE LOS TRIBUNALES UNITARIOS PRIMERO Y SEGUNDO DEL CENTRO AUXILIAR DE LA QUINTA REGIÓN, CON RESIDENCIA EN CULIACÁN, SINALOA.</w:t>
      </w:r>
    </w:p>
    <w:p w:rsidR="00261862" w:rsidRPr="00261862" w:rsidRDefault="00261862" w:rsidP="00261862">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261862">
        <w:rPr>
          <w:rFonts w:ascii="Times" w:eastAsia="Times New Roman" w:hAnsi="Times" w:cs="Times New Roman"/>
          <w:b/>
          <w:bCs/>
          <w:color w:val="2F2F2F"/>
          <w:sz w:val="18"/>
          <w:szCs w:val="18"/>
          <w:lang w:eastAsia="es-MX"/>
        </w:rPr>
        <w:t>CONSIDERANDO</w:t>
      </w:r>
    </w:p>
    <w:p w:rsidR="00261862" w:rsidRPr="00261862" w:rsidRDefault="00261862" w:rsidP="00261862">
      <w:pPr>
        <w:shd w:val="clear" w:color="auto" w:fill="FFFFFF"/>
        <w:spacing w:after="80"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PRIMERO.</w:t>
      </w:r>
      <w:r w:rsidRPr="00261862">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61862" w:rsidRPr="00261862" w:rsidRDefault="00261862" w:rsidP="00261862">
      <w:pPr>
        <w:shd w:val="clear" w:color="auto" w:fill="FFFFFF"/>
        <w:spacing w:after="80"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SEGUNDO.</w:t>
      </w:r>
      <w:r w:rsidRPr="00261862">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261862" w:rsidRPr="00261862" w:rsidRDefault="00261862" w:rsidP="00261862">
      <w:pPr>
        <w:shd w:val="clear" w:color="auto" w:fill="FFFFFF"/>
        <w:spacing w:after="80"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TERCERO.</w:t>
      </w:r>
      <w:r w:rsidRPr="00261862">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261862" w:rsidRPr="00261862" w:rsidRDefault="00261862" w:rsidP="00261862">
      <w:pPr>
        <w:shd w:val="clear" w:color="auto" w:fill="FFFFFF"/>
        <w:spacing w:after="80"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CUARTO.</w:t>
      </w:r>
      <w:r w:rsidRPr="00261862">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QUINTO.</w:t>
      </w:r>
      <w:r w:rsidRPr="00261862">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SEXTO. </w:t>
      </w:r>
      <w:r w:rsidRPr="00261862">
        <w:rPr>
          <w:rFonts w:ascii="Arial" w:eastAsia="Times New Roman" w:hAnsi="Arial" w:cs="Arial"/>
          <w:color w:val="2F2F2F"/>
          <w:sz w:val="18"/>
          <w:szCs w:val="18"/>
          <w:lang w:eastAsia="es-MX"/>
        </w:rPr>
        <w:t>El Pleno del Consejo de la Judicatura Federal, en sesión de 26 de octubre de 2022, aprobó el Dictamen relativo a la conclusión de funciones del Primer y Segundo Tribunales Unitarios del Centro Auxiliar de la Quinta Región, con residencia en Culiacán, Sinaloa.</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color w:val="2F2F2F"/>
          <w:sz w:val="18"/>
          <w:szCs w:val="18"/>
          <w:lang w:eastAsia="es-MX"/>
        </w:rPr>
        <w:t>Por lo anterior, se expide el siguiente</w:t>
      </w:r>
    </w:p>
    <w:p w:rsidR="00261862" w:rsidRPr="00261862" w:rsidRDefault="00261862" w:rsidP="002618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61862">
        <w:rPr>
          <w:rFonts w:ascii="Times" w:eastAsia="Times New Roman" w:hAnsi="Times" w:cs="Times New Roman"/>
          <w:b/>
          <w:bCs/>
          <w:color w:val="2F2F2F"/>
          <w:sz w:val="18"/>
          <w:szCs w:val="18"/>
          <w:lang w:eastAsia="es-MX"/>
        </w:rPr>
        <w:t>ACUERDO</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Artículo 1.</w:t>
      </w:r>
      <w:r w:rsidRPr="00261862">
        <w:rPr>
          <w:rFonts w:ascii="Arial" w:eastAsia="Times New Roman" w:hAnsi="Arial" w:cs="Arial"/>
          <w:color w:val="2F2F2F"/>
          <w:sz w:val="18"/>
          <w:szCs w:val="18"/>
          <w:lang w:eastAsia="es-MX"/>
        </w:rPr>
        <w:t> Concluyen funciones los Tribunales Unitarios Primero y Segundo del Centro Auxiliar de la Quinta Región, con residencia en Culiacán, Sinaloa, a las veinticuatro horas del 15 de noviembre de 2022.</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Artículo 2.</w:t>
      </w:r>
      <w:r w:rsidRPr="00261862">
        <w:rPr>
          <w:rFonts w:ascii="Arial" w:eastAsia="Times New Roman" w:hAnsi="Arial" w:cs="Arial"/>
          <w:color w:val="2F2F2F"/>
          <w:sz w:val="18"/>
          <w:szCs w:val="18"/>
          <w:lang w:eastAsia="es-MX"/>
        </w:rPr>
        <w:t> Los Tribunales Unitarios de Circuito que concluyen funciones procurarán egresar los asuntos que tengan pendientes de resolución antes de la fecha señalada en el artículo 1. En caso de que ello no sea posible, los asuntos pendientes de resolución serán devueltos al tribunal auxiliado, o bien al Tribunal Colegiado de Apelación que conocerá de los asuntos del Tribunal Unitario auxiliado, si éste ya concluyó funciones.</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Artículo 3.</w:t>
      </w:r>
      <w:r w:rsidRPr="00261862">
        <w:rPr>
          <w:rFonts w:ascii="Arial" w:eastAsia="Times New Roman" w:hAnsi="Arial" w:cs="Arial"/>
          <w:color w:val="2F2F2F"/>
          <w:sz w:val="18"/>
          <w:szCs w:val="18"/>
          <w:lang w:eastAsia="es-MX"/>
        </w:rPr>
        <w:t xml:space="preserve"> Las personas titulares de los órganos jurisdiccionales que concluyen funciones designarán a la o el servidor público encargado de elaborar una relación de los asuntos pendientes de resolución, que se enumerarán de forma consecutiva, por tipo de asunto y por orden de antigüedad. De igual forma, en su caso, deberá describir los anexos, bienes, billetes de depósito, fianzas, valores y demás documentos. </w:t>
      </w:r>
      <w:r w:rsidRPr="00261862">
        <w:rPr>
          <w:rFonts w:ascii="Arial" w:eastAsia="Times New Roman" w:hAnsi="Arial" w:cs="Arial"/>
          <w:color w:val="2F2F2F"/>
          <w:sz w:val="18"/>
          <w:szCs w:val="18"/>
          <w:lang w:eastAsia="es-MX"/>
        </w:rPr>
        <w:lastRenderedPageBreak/>
        <w:t>También elaborará el acta de entrega-recepción de los expedientes y sus anexos, y entregará un tanto a la Dirección General de Gestión Judicial, y otro lo enviará a la Secretaría Ejecutiva de Creación de Nuevos Órganos, en la que conste la devolución respectiva al tribunal que corresponda.</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Artículo 4. </w:t>
      </w:r>
      <w:r w:rsidRPr="00261862">
        <w:rPr>
          <w:rFonts w:ascii="Arial" w:eastAsia="Times New Roman" w:hAnsi="Arial" w:cs="Arial"/>
          <w:color w:val="2F2F2F"/>
          <w:sz w:val="18"/>
          <w:szCs w:val="18"/>
          <w:lang w:eastAsia="es-MX"/>
        </w:rPr>
        <w:t>Los libros electrónicos de control y reportes estadísticos contenidos en el Sistema Integral de Seguimiento de Expedientes de los órganos jurisdiccionales que concluyen funciones deberán permanecer almacenados en el referido sistema.</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Artículo 5. </w:t>
      </w:r>
      <w:r w:rsidRPr="00261862">
        <w:rPr>
          <w:rFonts w:ascii="Arial" w:eastAsia="Times New Roman" w:hAnsi="Arial" w:cs="Arial"/>
          <w:color w:val="2F2F2F"/>
          <w:sz w:val="18"/>
          <w:szCs w:val="18"/>
          <w:lang w:eastAsia="es-MX"/>
        </w:rPr>
        <w:t>La entrega-recepción de los documentos, mobiliario, equipo y demás documentación o enseres concluirá, a más tardar, un día antes de la fecha de conclusión de actividades. En caso de que se cuente con documentación susceptible de ser destruida, las personas titulares de cada Tribunal Unitario de Circuito Auxiliar deberán cerciorarse de que ello se lleve a cabo.</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Artículo 6. </w:t>
      </w:r>
      <w:r w:rsidRPr="00261862">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261862" w:rsidRPr="00261862" w:rsidRDefault="00261862" w:rsidP="002618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61862">
        <w:rPr>
          <w:rFonts w:ascii="Times" w:eastAsia="Times New Roman" w:hAnsi="Times" w:cs="Times New Roman"/>
          <w:b/>
          <w:bCs/>
          <w:color w:val="2F2F2F"/>
          <w:sz w:val="18"/>
          <w:szCs w:val="18"/>
          <w:lang w:eastAsia="es-MX"/>
        </w:rPr>
        <w:t>TRANSITORIOS</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PRIMERO.</w:t>
      </w:r>
      <w:r w:rsidRPr="00261862">
        <w:rPr>
          <w:rFonts w:ascii="Arial" w:eastAsia="Times New Roman" w:hAnsi="Arial" w:cs="Arial"/>
          <w:color w:val="2F2F2F"/>
          <w:sz w:val="18"/>
          <w:szCs w:val="18"/>
          <w:lang w:eastAsia="es-MX"/>
        </w:rPr>
        <w:t> El presente Acuerdo entrará en vigor el día de su aprobación.</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SEGUNDO.</w:t>
      </w:r>
      <w:r w:rsidRPr="00261862">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8"/>
          <w:szCs w:val="18"/>
          <w:lang w:eastAsia="es-MX"/>
        </w:rPr>
      </w:pPr>
      <w:r w:rsidRPr="00261862">
        <w:rPr>
          <w:rFonts w:ascii="Arial" w:eastAsia="Times New Roman" w:hAnsi="Arial" w:cs="Arial"/>
          <w:b/>
          <w:bCs/>
          <w:color w:val="2F2F2F"/>
          <w:sz w:val="18"/>
          <w:szCs w:val="18"/>
          <w:lang w:eastAsia="es-MX"/>
        </w:rPr>
        <w:t>TERCERO.</w:t>
      </w:r>
      <w:r w:rsidRPr="00261862">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261862" w:rsidRPr="00261862" w:rsidRDefault="00261862" w:rsidP="00261862">
      <w:pPr>
        <w:shd w:val="clear" w:color="auto" w:fill="FFFFFF"/>
        <w:spacing w:after="101" w:line="240" w:lineRule="auto"/>
        <w:ind w:firstLine="288"/>
        <w:jc w:val="both"/>
        <w:rPr>
          <w:rFonts w:ascii="Arial" w:eastAsia="Times New Roman" w:hAnsi="Arial" w:cs="Arial"/>
          <w:color w:val="2F2F2F"/>
          <w:sz w:val="16"/>
          <w:szCs w:val="16"/>
          <w:lang w:eastAsia="es-MX"/>
        </w:rPr>
      </w:pPr>
      <w:r w:rsidRPr="00261862">
        <w:rPr>
          <w:rFonts w:ascii="Arial" w:eastAsia="Times New Roman" w:hAnsi="Arial" w:cs="Arial"/>
          <w:color w:val="2F2F2F"/>
          <w:sz w:val="16"/>
          <w:szCs w:val="16"/>
          <w:lang w:eastAsia="es-MX"/>
        </w:rPr>
        <w:t>EL LICENCIADO </w:t>
      </w:r>
      <w:r w:rsidRPr="00261862">
        <w:rPr>
          <w:rFonts w:ascii="Arial" w:eastAsia="Times New Roman" w:hAnsi="Arial" w:cs="Arial"/>
          <w:b/>
          <w:bCs/>
          <w:color w:val="2F2F2F"/>
          <w:sz w:val="16"/>
          <w:szCs w:val="16"/>
          <w:lang w:eastAsia="es-MX"/>
        </w:rPr>
        <w:t>ARTURO GUERRERO ZAZUETA</w:t>
      </w:r>
      <w:r w:rsidRPr="00261862">
        <w:rPr>
          <w:rFonts w:ascii="Arial" w:eastAsia="Times New Roman" w:hAnsi="Arial" w:cs="Arial"/>
          <w:color w:val="2F2F2F"/>
          <w:sz w:val="16"/>
          <w:szCs w:val="16"/>
          <w:lang w:eastAsia="es-MX"/>
        </w:rPr>
        <w:t xml:space="preserve">, SECRETARIO EJECUTIVO DEL PLENO DEL CONSEJO DE LA JUDICATURA FEDERAL, CERTIFICA: Que este Acuerdo General 34/2022, del Pleno del Consejo de la Judicatura Federal, relativo a la conclusión de funciones de los Tribunales Unitarios Primero y Segundo del Centro Auxiliar de la Quinta Región, con residencia en Culiacán, Sinaloa, fue aprobado por el Pleno del propio Consejo, en sesión ordinaria de 26 de octubre de 2022, por unanimidad de votos de los señores Consejeros: Presidente Ministro Arturo Zaldívar Lelo de Larrea, Bernardo </w:t>
      </w:r>
      <w:proofErr w:type="spellStart"/>
      <w:r w:rsidRPr="00261862">
        <w:rPr>
          <w:rFonts w:ascii="Arial" w:eastAsia="Times New Roman" w:hAnsi="Arial" w:cs="Arial"/>
          <w:color w:val="2F2F2F"/>
          <w:sz w:val="16"/>
          <w:szCs w:val="16"/>
          <w:lang w:eastAsia="es-MX"/>
        </w:rPr>
        <w:t>Bátiz</w:t>
      </w:r>
      <w:proofErr w:type="spellEnd"/>
      <w:r w:rsidRPr="00261862">
        <w:rPr>
          <w:rFonts w:ascii="Arial" w:eastAsia="Times New Roman" w:hAnsi="Arial" w:cs="Arial"/>
          <w:color w:val="2F2F2F"/>
          <w:sz w:val="16"/>
          <w:szCs w:val="16"/>
          <w:lang w:eastAsia="es-MX"/>
        </w:rPr>
        <w:t xml:space="preserve"> Vázquez, Eva Verónica de </w:t>
      </w:r>
      <w:proofErr w:type="spellStart"/>
      <w:r w:rsidRPr="00261862">
        <w:rPr>
          <w:rFonts w:ascii="Arial" w:eastAsia="Times New Roman" w:hAnsi="Arial" w:cs="Arial"/>
          <w:color w:val="2F2F2F"/>
          <w:sz w:val="16"/>
          <w:szCs w:val="16"/>
          <w:lang w:eastAsia="es-MX"/>
        </w:rPr>
        <w:t>Gyvés</w:t>
      </w:r>
      <w:proofErr w:type="spellEnd"/>
      <w:r w:rsidRPr="00261862">
        <w:rPr>
          <w:rFonts w:ascii="Arial" w:eastAsia="Times New Roman" w:hAnsi="Arial" w:cs="Arial"/>
          <w:color w:val="2F2F2F"/>
          <w:sz w:val="16"/>
          <w:szCs w:val="16"/>
          <w:lang w:eastAsia="es-MX"/>
        </w:rPr>
        <w:t xml:space="preserve"> Zárate, Alejandro Sergio González Bernabé y Lilia Mónica López Benítez.- Ciudad de México, a 7 de noviembre de 2022.- Conste.- Rúbrica.</w:t>
      </w:r>
    </w:p>
    <w:p w:rsidR="00323B1A" w:rsidRDefault="00323B1A"/>
    <w:sectPr w:rsidR="00323B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62"/>
    <w:rsid w:val="00261862"/>
    <w:rsid w:val="00323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8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8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680926">
      <w:bodyDiv w:val="1"/>
      <w:marLeft w:val="0"/>
      <w:marRight w:val="0"/>
      <w:marTop w:val="0"/>
      <w:marBottom w:val="0"/>
      <w:divBdr>
        <w:top w:val="none" w:sz="0" w:space="0" w:color="auto"/>
        <w:left w:val="none" w:sz="0" w:space="0" w:color="auto"/>
        <w:bottom w:val="none" w:sz="0" w:space="0" w:color="auto"/>
        <w:right w:val="none" w:sz="0" w:space="0" w:color="auto"/>
      </w:divBdr>
      <w:divsChild>
        <w:div w:id="1128938495">
          <w:marLeft w:val="0"/>
          <w:marRight w:val="0"/>
          <w:marTop w:val="0"/>
          <w:marBottom w:val="80"/>
          <w:divBdr>
            <w:top w:val="none" w:sz="0" w:space="0" w:color="auto"/>
            <w:left w:val="none" w:sz="0" w:space="0" w:color="auto"/>
            <w:bottom w:val="none" w:sz="0" w:space="0" w:color="auto"/>
            <w:right w:val="none" w:sz="0" w:space="0" w:color="auto"/>
          </w:divBdr>
        </w:div>
        <w:div w:id="1114053254">
          <w:marLeft w:val="0"/>
          <w:marRight w:val="0"/>
          <w:marTop w:val="101"/>
          <w:marBottom w:val="80"/>
          <w:divBdr>
            <w:top w:val="none" w:sz="0" w:space="0" w:color="auto"/>
            <w:left w:val="none" w:sz="0" w:space="0" w:color="auto"/>
            <w:bottom w:val="none" w:sz="0" w:space="0" w:color="auto"/>
            <w:right w:val="none" w:sz="0" w:space="0" w:color="auto"/>
          </w:divBdr>
        </w:div>
        <w:div w:id="426660611">
          <w:marLeft w:val="0"/>
          <w:marRight w:val="0"/>
          <w:marTop w:val="0"/>
          <w:marBottom w:val="80"/>
          <w:divBdr>
            <w:top w:val="none" w:sz="0" w:space="0" w:color="auto"/>
            <w:left w:val="none" w:sz="0" w:space="0" w:color="auto"/>
            <w:bottom w:val="none" w:sz="0" w:space="0" w:color="auto"/>
            <w:right w:val="none" w:sz="0" w:space="0" w:color="auto"/>
          </w:divBdr>
        </w:div>
        <w:div w:id="1035228673">
          <w:marLeft w:val="0"/>
          <w:marRight w:val="0"/>
          <w:marTop w:val="0"/>
          <w:marBottom w:val="80"/>
          <w:divBdr>
            <w:top w:val="none" w:sz="0" w:space="0" w:color="auto"/>
            <w:left w:val="none" w:sz="0" w:space="0" w:color="auto"/>
            <w:bottom w:val="none" w:sz="0" w:space="0" w:color="auto"/>
            <w:right w:val="none" w:sz="0" w:space="0" w:color="auto"/>
          </w:divBdr>
        </w:div>
        <w:div w:id="312636205">
          <w:marLeft w:val="0"/>
          <w:marRight w:val="0"/>
          <w:marTop w:val="0"/>
          <w:marBottom w:val="80"/>
          <w:divBdr>
            <w:top w:val="none" w:sz="0" w:space="0" w:color="auto"/>
            <w:left w:val="none" w:sz="0" w:space="0" w:color="auto"/>
            <w:bottom w:val="none" w:sz="0" w:space="0" w:color="auto"/>
            <w:right w:val="none" w:sz="0" w:space="0" w:color="auto"/>
          </w:divBdr>
        </w:div>
        <w:div w:id="874081059">
          <w:marLeft w:val="0"/>
          <w:marRight w:val="0"/>
          <w:marTop w:val="0"/>
          <w:marBottom w:val="80"/>
          <w:divBdr>
            <w:top w:val="none" w:sz="0" w:space="0" w:color="auto"/>
            <w:left w:val="none" w:sz="0" w:space="0" w:color="auto"/>
            <w:bottom w:val="none" w:sz="0" w:space="0" w:color="auto"/>
            <w:right w:val="none" w:sz="0" w:space="0" w:color="auto"/>
          </w:divBdr>
        </w:div>
        <w:div w:id="1125271886">
          <w:marLeft w:val="0"/>
          <w:marRight w:val="0"/>
          <w:marTop w:val="0"/>
          <w:marBottom w:val="101"/>
          <w:divBdr>
            <w:top w:val="none" w:sz="0" w:space="0" w:color="auto"/>
            <w:left w:val="none" w:sz="0" w:space="0" w:color="auto"/>
            <w:bottom w:val="none" w:sz="0" w:space="0" w:color="auto"/>
            <w:right w:val="none" w:sz="0" w:space="0" w:color="auto"/>
          </w:divBdr>
        </w:div>
        <w:div w:id="1613122185">
          <w:marLeft w:val="0"/>
          <w:marRight w:val="0"/>
          <w:marTop w:val="0"/>
          <w:marBottom w:val="101"/>
          <w:divBdr>
            <w:top w:val="none" w:sz="0" w:space="0" w:color="auto"/>
            <w:left w:val="none" w:sz="0" w:space="0" w:color="auto"/>
            <w:bottom w:val="none" w:sz="0" w:space="0" w:color="auto"/>
            <w:right w:val="none" w:sz="0" w:space="0" w:color="auto"/>
          </w:divBdr>
        </w:div>
        <w:div w:id="88239119">
          <w:marLeft w:val="0"/>
          <w:marRight w:val="0"/>
          <w:marTop w:val="0"/>
          <w:marBottom w:val="101"/>
          <w:divBdr>
            <w:top w:val="none" w:sz="0" w:space="0" w:color="auto"/>
            <w:left w:val="none" w:sz="0" w:space="0" w:color="auto"/>
            <w:bottom w:val="none" w:sz="0" w:space="0" w:color="auto"/>
            <w:right w:val="none" w:sz="0" w:space="0" w:color="auto"/>
          </w:divBdr>
        </w:div>
        <w:div w:id="322902514">
          <w:marLeft w:val="0"/>
          <w:marRight w:val="0"/>
          <w:marTop w:val="101"/>
          <w:marBottom w:val="101"/>
          <w:divBdr>
            <w:top w:val="none" w:sz="0" w:space="0" w:color="auto"/>
            <w:left w:val="none" w:sz="0" w:space="0" w:color="auto"/>
            <w:bottom w:val="none" w:sz="0" w:space="0" w:color="auto"/>
            <w:right w:val="none" w:sz="0" w:space="0" w:color="auto"/>
          </w:divBdr>
        </w:div>
        <w:div w:id="1454834797">
          <w:marLeft w:val="0"/>
          <w:marRight w:val="0"/>
          <w:marTop w:val="0"/>
          <w:marBottom w:val="101"/>
          <w:divBdr>
            <w:top w:val="none" w:sz="0" w:space="0" w:color="auto"/>
            <w:left w:val="none" w:sz="0" w:space="0" w:color="auto"/>
            <w:bottom w:val="none" w:sz="0" w:space="0" w:color="auto"/>
            <w:right w:val="none" w:sz="0" w:space="0" w:color="auto"/>
          </w:divBdr>
        </w:div>
        <w:div w:id="1148744526">
          <w:marLeft w:val="0"/>
          <w:marRight w:val="0"/>
          <w:marTop w:val="0"/>
          <w:marBottom w:val="101"/>
          <w:divBdr>
            <w:top w:val="none" w:sz="0" w:space="0" w:color="auto"/>
            <w:left w:val="none" w:sz="0" w:space="0" w:color="auto"/>
            <w:bottom w:val="none" w:sz="0" w:space="0" w:color="auto"/>
            <w:right w:val="none" w:sz="0" w:space="0" w:color="auto"/>
          </w:divBdr>
        </w:div>
        <w:div w:id="570969914">
          <w:marLeft w:val="0"/>
          <w:marRight w:val="0"/>
          <w:marTop w:val="0"/>
          <w:marBottom w:val="101"/>
          <w:divBdr>
            <w:top w:val="none" w:sz="0" w:space="0" w:color="auto"/>
            <w:left w:val="none" w:sz="0" w:space="0" w:color="auto"/>
            <w:bottom w:val="none" w:sz="0" w:space="0" w:color="auto"/>
            <w:right w:val="none" w:sz="0" w:space="0" w:color="auto"/>
          </w:divBdr>
        </w:div>
        <w:div w:id="2042827432">
          <w:marLeft w:val="0"/>
          <w:marRight w:val="0"/>
          <w:marTop w:val="0"/>
          <w:marBottom w:val="101"/>
          <w:divBdr>
            <w:top w:val="none" w:sz="0" w:space="0" w:color="auto"/>
            <w:left w:val="none" w:sz="0" w:space="0" w:color="auto"/>
            <w:bottom w:val="none" w:sz="0" w:space="0" w:color="auto"/>
            <w:right w:val="none" w:sz="0" w:space="0" w:color="auto"/>
          </w:divBdr>
        </w:div>
        <w:div w:id="1045448361">
          <w:marLeft w:val="0"/>
          <w:marRight w:val="0"/>
          <w:marTop w:val="0"/>
          <w:marBottom w:val="101"/>
          <w:divBdr>
            <w:top w:val="none" w:sz="0" w:space="0" w:color="auto"/>
            <w:left w:val="none" w:sz="0" w:space="0" w:color="auto"/>
            <w:bottom w:val="none" w:sz="0" w:space="0" w:color="auto"/>
            <w:right w:val="none" w:sz="0" w:space="0" w:color="auto"/>
          </w:divBdr>
        </w:div>
        <w:div w:id="1422800751">
          <w:marLeft w:val="0"/>
          <w:marRight w:val="0"/>
          <w:marTop w:val="0"/>
          <w:marBottom w:val="101"/>
          <w:divBdr>
            <w:top w:val="none" w:sz="0" w:space="0" w:color="auto"/>
            <w:left w:val="none" w:sz="0" w:space="0" w:color="auto"/>
            <w:bottom w:val="none" w:sz="0" w:space="0" w:color="auto"/>
            <w:right w:val="none" w:sz="0" w:space="0" w:color="auto"/>
          </w:divBdr>
        </w:div>
        <w:div w:id="669454023">
          <w:marLeft w:val="0"/>
          <w:marRight w:val="0"/>
          <w:marTop w:val="0"/>
          <w:marBottom w:val="101"/>
          <w:divBdr>
            <w:top w:val="none" w:sz="0" w:space="0" w:color="auto"/>
            <w:left w:val="none" w:sz="0" w:space="0" w:color="auto"/>
            <w:bottom w:val="none" w:sz="0" w:space="0" w:color="auto"/>
            <w:right w:val="none" w:sz="0" w:space="0" w:color="auto"/>
          </w:divBdr>
        </w:div>
        <w:div w:id="1855457225">
          <w:marLeft w:val="0"/>
          <w:marRight w:val="0"/>
          <w:marTop w:val="101"/>
          <w:marBottom w:val="101"/>
          <w:divBdr>
            <w:top w:val="none" w:sz="0" w:space="0" w:color="auto"/>
            <w:left w:val="none" w:sz="0" w:space="0" w:color="auto"/>
            <w:bottom w:val="none" w:sz="0" w:space="0" w:color="auto"/>
            <w:right w:val="none" w:sz="0" w:space="0" w:color="auto"/>
          </w:divBdr>
        </w:div>
        <w:div w:id="1134448945">
          <w:marLeft w:val="0"/>
          <w:marRight w:val="0"/>
          <w:marTop w:val="0"/>
          <w:marBottom w:val="101"/>
          <w:divBdr>
            <w:top w:val="none" w:sz="0" w:space="0" w:color="auto"/>
            <w:left w:val="none" w:sz="0" w:space="0" w:color="auto"/>
            <w:bottom w:val="none" w:sz="0" w:space="0" w:color="auto"/>
            <w:right w:val="none" w:sz="0" w:space="0" w:color="auto"/>
          </w:divBdr>
        </w:div>
        <w:div w:id="1572809245">
          <w:marLeft w:val="0"/>
          <w:marRight w:val="0"/>
          <w:marTop w:val="0"/>
          <w:marBottom w:val="101"/>
          <w:divBdr>
            <w:top w:val="none" w:sz="0" w:space="0" w:color="auto"/>
            <w:left w:val="none" w:sz="0" w:space="0" w:color="auto"/>
            <w:bottom w:val="none" w:sz="0" w:space="0" w:color="auto"/>
            <w:right w:val="none" w:sz="0" w:space="0" w:color="auto"/>
          </w:divBdr>
        </w:div>
        <w:div w:id="534999363">
          <w:marLeft w:val="0"/>
          <w:marRight w:val="0"/>
          <w:marTop w:val="0"/>
          <w:marBottom w:val="101"/>
          <w:divBdr>
            <w:top w:val="none" w:sz="0" w:space="0" w:color="auto"/>
            <w:left w:val="none" w:sz="0" w:space="0" w:color="auto"/>
            <w:bottom w:val="none" w:sz="0" w:space="0" w:color="auto"/>
            <w:right w:val="none" w:sz="0" w:space="0" w:color="auto"/>
          </w:divBdr>
        </w:div>
        <w:div w:id="13945453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1138</Words>
  <Characters>6261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2022-11-14T14:37:00Z</dcterms:created>
  <dcterms:modified xsi:type="dcterms:W3CDTF">2022-11-14T14:39:00Z</dcterms:modified>
</cp:coreProperties>
</file>