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ED1" w:rsidRDefault="00034ED1" w:rsidP="00034ED1">
      <w:pPr>
        <w:jc w:val="center"/>
        <w:rPr>
          <w:rFonts w:ascii="Verdana" w:hAnsi="Verdana"/>
          <w:b/>
          <w:bCs/>
          <w:color w:val="0070C0"/>
          <w:sz w:val="24"/>
        </w:rPr>
      </w:pPr>
      <w:r w:rsidRPr="00034ED1">
        <w:rPr>
          <w:rFonts w:ascii="Verdana" w:hAnsi="Verdana"/>
          <w:b/>
          <w:bCs/>
          <w:color w:val="0070C0"/>
          <w:sz w:val="24"/>
        </w:rPr>
        <w:t>Acuerdo por el que se dan a conocer los porcentajes y los montos del estímulo fiscal, así como las cuotas disminuidas del impuesto especial sobre producción y servicios aplicables a los combustibles que se indican, correspondient</w:t>
      </w:r>
      <w:r>
        <w:rPr>
          <w:rFonts w:ascii="Verdana" w:hAnsi="Verdana"/>
          <w:b/>
          <w:bCs/>
          <w:color w:val="0070C0"/>
          <w:sz w:val="24"/>
        </w:rPr>
        <w:t>es al periodo que se especifica</w:t>
      </w:r>
    </w:p>
    <w:p w:rsidR="00034ED1" w:rsidRDefault="00034ED1" w:rsidP="00034ED1">
      <w:pPr>
        <w:jc w:val="center"/>
        <w:rPr>
          <w:rFonts w:ascii="Verdana" w:hAnsi="Verdana"/>
          <w:b/>
          <w:bCs/>
          <w:color w:val="0070C0"/>
          <w:sz w:val="24"/>
        </w:rPr>
      </w:pPr>
      <w:bookmarkStart w:id="0" w:name="_GoBack"/>
      <w:r>
        <w:rPr>
          <w:rFonts w:ascii="Verdana" w:hAnsi="Verdana"/>
          <w:b/>
          <w:bCs/>
          <w:color w:val="0070C0"/>
          <w:sz w:val="24"/>
        </w:rPr>
        <w:t>(DOF del 26 de abril de 2019)</w:t>
      </w:r>
    </w:p>
    <w:bookmarkEnd w:id="0"/>
    <w:p w:rsidR="00034ED1" w:rsidRPr="00034ED1" w:rsidRDefault="00034ED1" w:rsidP="00034ED1">
      <w:pPr>
        <w:jc w:val="both"/>
        <w:rPr>
          <w:rFonts w:ascii="Verdana" w:hAnsi="Verdana"/>
          <w:b/>
          <w:bCs/>
          <w:sz w:val="20"/>
        </w:rPr>
      </w:pPr>
      <w:r w:rsidRPr="00034ED1">
        <w:rPr>
          <w:rFonts w:ascii="Verdana" w:hAnsi="Verdana"/>
          <w:b/>
          <w:bCs/>
          <w:sz w:val="20"/>
        </w:rPr>
        <w:t>Al margen un sello con el Escudo Nacional, que dice: Estados Unidos Mexicanos.- SHCP.- Secretaría de Hacienda y Crédito Público.</w:t>
      </w:r>
    </w:p>
    <w:p w:rsidR="00034ED1" w:rsidRPr="00034ED1" w:rsidRDefault="00034ED1" w:rsidP="00034ED1">
      <w:pPr>
        <w:jc w:val="both"/>
        <w:rPr>
          <w:rFonts w:ascii="Verdana" w:hAnsi="Verdana"/>
          <w:b/>
          <w:bCs/>
          <w:sz w:val="20"/>
        </w:rPr>
      </w:pPr>
      <w:r w:rsidRPr="00034ED1">
        <w:rPr>
          <w:rFonts w:ascii="Verdana" w:hAnsi="Verdana"/>
          <w:b/>
          <w:bCs/>
          <w:sz w:val="20"/>
        </w:rPr>
        <w:t>Acuerdo 44/2019</w:t>
      </w:r>
    </w:p>
    <w:p w:rsidR="00034ED1" w:rsidRPr="00034ED1" w:rsidRDefault="00034ED1" w:rsidP="00034ED1">
      <w:pPr>
        <w:jc w:val="both"/>
        <w:rPr>
          <w:rFonts w:ascii="Verdana" w:hAnsi="Verdana"/>
          <w:bCs/>
          <w:sz w:val="20"/>
        </w:rPr>
      </w:pPr>
      <w:r w:rsidRPr="00034ED1">
        <w:rPr>
          <w:rFonts w:ascii="Verdana" w:hAnsi="Verdana"/>
          <w:b/>
          <w:bCs/>
          <w:sz w:val="20"/>
        </w:rPr>
        <w:t>Acuerdo por el que se dan a conocer los porcentajes y los montos del estímulo fiscal, así como las</w:t>
      </w:r>
      <w:r w:rsidRPr="00034ED1">
        <w:rPr>
          <w:rFonts w:ascii="Verdana" w:hAnsi="Verdana"/>
          <w:bCs/>
          <w:sz w:val="20"/>
        </w:rPr>
        <w:br/>
      </w:r>
      <w:r w:rsidRPr="00034ED1">
        <w:rPr>
          <w:rFonts w:ascii="Verdana" w:hAnsi="Verdana"/>
          <w:b/>
          <w:bCs/>
          <w:sz w:val="20"/>
        </w:rPr>
        <w:t>cuotas disminuidas del impuesto especial sobre producción y servicios aplicables a los combustibles</w:t>
      </w:r>
      <w:r w:rsidRPr="00034ED1">
        <w:rPr>
          <w:rFonts w:ascii="Verdana" w:hAnsi="Verdana"/>
          <w:bCs/>
          <w:sz w:val="20"/>
        </w:rPr>
        <w:br/>
      </w:r>
      <w:r w:rsidRPr="00034ED1">
        <w:rPr>
          <w:rFonts w:ascii="Verdana" w:hAnsi="Verdana"/>
          <w:b/>
          <w:bCs/>
          <w:sz w:val="20"/>
        </w:rPr>
        <w:t>que se indican, correspondientes al periodo que se especifica.</w:t>
      </w:r>
    </w:p>
    <w:p w:rsidR="00034ED1" w:rsidRPr="00034ED1" w:rsidRDefault="00034ED1" w:rsidP="00034ED1">
      <w:pPr>
        <w:jc w:val="both"/>
        <w:rPr>
          <w:rFonts w:ascii="Verdana" w:hAnsi="Verdana"/>
          <w:bCs/>
          <w:sz w:val="20"/>
        </w:rPr>
      </w:pPr>
      <w:r w:rsidRPr="00034ED1">
        <w:rPr>
          <w:rFonts w:ascii="Verdana" w:hAnsi="Verdana"/>
          <w:bCs/>
          <w:sz w:val="20"/>
        </w:rPr>
        <w:t>IVÁN CAJEME VILLARREAL CAMERO, Titular de la Unidad de Política de Ingresos no Tributarios de la Secretaría de Hacienda y Crédito Público, con fundamento en lo dispuesto por el artículo Primero del Decreto por el que se establecen estímulos fiscales en materia del impuesto especial sobre producción y servicios aplicables a los combustibles que se indican, publicado en el Diario Oficial de la Federación el 27 de diciembre de 2016 y sus posteriores modificaciones, se dan a conocer los porcentajes y los montos del estímulo fiscal, así como las cuotas disminuidas del impuesto especial sobre producción y servicios aplicables a los combustibles automotrices, correspondientes al periodo comprendido del 27 de abril al 3 de mayo de 2019.</w:t>
      </w:r>
    </w:p>
    <w:p w:rsidR="00034ED1" w:rsidRPr="00034ED1" w:rsidRDefault="00034ED1" w:rsidP="00034ED1">
      <w:pPr>
        <w:jc w:val="both"/>
        <w:rPr>
          <w:rFonts w:ascii="Verdana" w:hAnsi="Verdana"/>
          <w:b/>
          <w:bCs/>
          <w:sz w:val="20"/>
        </w:rPr>
      </w:pPr>
      <w:r w:rsidRPr="00034ED1">
        <w:rPr>
          <w:rFonts w:ascii="Verdana" w:hAnsi="Verdana"/>
          <w:b/>
          <w:bCs/>
          <w:sz w:val="20"/>
        </w:rPr>
        <w:t>ACUERDO</w:t>
      </w:r>
    </w:p>
    <w:p w:rsidR="00034ED1" w:rsidRPr="00034ED1" w:rsidRDefault="00034ED1" w:rsidP="00034ED1">
      <w:pPr>
        <w:jc w:val="both"/>
        <w:rPr>
          <w:rFonts w:ascii="Verdana" w:hAnsi="Verdana"/>
          <w:bCs/>
          <w:sz w:val="20"/>
        </w:rPr>
      </w:pPr>
      <w:r w:rsidRPr="00034ED1">
        <w:rPr>
          <w:rFonts w:ascii="Verdana" w:hAnsi="Verdana"/>
          <w:b/>
          <w:bCs/>
          <w:sz w:val="20"/>
        </w:rPr>
        <w:t>Artículo Primero. </w:t>
      </w:r>
      <w:r w:rsidRPr="00034ED1">
        <w:rPr>
          <w:rFonts w:ascii="Verdana" w:hAnsi="Verdana"/>
          <w:bCs/>
          <w:sz w:val="20"/>
        </w:rPr>
        <w:t>Los porcentajes del estímulo fiscal para el periodo comprendido del 27 de abril al 3 de mayo de 2019, aplicables a los combustibles automotrices son 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8"/>
        <w:gridCol w:w="4354"/>
      </w:tblGrid>
      <w:tr w:rsidR="00034ED1" w:rsidRPr="00034ED1" w:rsidTr="00034ED1">
        <w:trPr>
          <w:trHeight w:val="246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34ED1" w:rsidRPr="00034ED1" w:rsidRDefault="00034ED1" w:rsidP="00034ED1">
            <w:pPr>
              <w:jc w:val="both"/>
              <w:rPr>
                <w:rFonts w:ascii="Verdana" w:hAnsi="Verdana"/>
                <w:bCs/>
                <w:sz w:val="20"/>
              </w:rPr>
            </w:pPr>
            <w:r w:rsidRPr="00034ED1">
              <w:rPr>
                <w:rFonts w:ascii="Verdana" w:hAnsi="Verdana"/>
                <w:b/>
                <w:bCs/>
                <w:sz w:val="20"/>
              </w:rPr>
              <w:t>Combustible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34ED1" w:rsidRPr="00034ED1" w:rsidRDefault="00034ED1" w:rsidP="00034ED1">
            <w:pPr>
              <w:jc w:val="both"/>
              <w:rPr>
                <w:rFonts w:ascii="Verdana" w:hAnsi="Verdana"/>
                <w:bCs/>
                <w:sz w:val="20"/>
              </w:rPr>
            </w:pPr>
            <w:r w:rsidRPr="00034ED1">
              <w:rPr>
                <w:rFonts w:ascii="Verdana" w:hAnsi="Verdana"/>
                <w:b/>
                <w:bCs/>
                <w:sz w:val="20"/>
              </w:rPr>
              <w:t>Porcentaje de Estímulo</w:t>
            </w:r>
          </w:p>
        </w:tc>
      </w:tr>
      <w:tr w:rsidR="00034ED1" w:rsidRPr="00034ED1" w:rsidTr="00034ED1">
        <w:trPr>
          <w:trHeight w:val="231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34ED1" w:rsidRPr="00034ED1" w:rsidRDefault="00034ED1" w:rsidP="00034ED1">
            <w:pPr>
              <w:jc w:val="both"/>
              <w:rPr>
                <w:rFonts w:ascii="Verdana" w:hAnsi="Verdana"/>
                <w:bCs/>
                <w:sz w:val="20"/>
              </w:rPr>
            </w:pPr>
            <w:r w:rsidRPr="00034ED1">
              <w:rPr>
                <w:rFonts w:ascii="Verdana" w:hAnsi="Verdana"/>
                <w:bCs/>
                <w:sz w:val="20"/>
              </w:rPr>
              <w:t>Gasolina menor a 92 octanos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34ED1" w:rsidRPr="00034ED1" w:rsidRDefault="00034ED1" w:rsidP="00034ED1">
            <w:pPr>
              <w:jc w:val="both"/>
              <w:rPr>
                <w:rFonts w:ascii="Verdana" w:hAnsi="Verdana"/>
                <w:bCs/>
                <w:sz w:val="20"/>
              </w:rPr>
            </w:pPr>
            <w:r w:rsidRPr="00034ED1">
              <w:rPr>
                <w:rFonts w:ascii="Verdana" w:hAnsi="Verdana"/>
                <w:bCs/>
                <w:sz w:val="20"/>
              </w:rPr>
              <w:t>41.43%</w:t>
            </w:r>
          </w:p>
        </w:tc>
      </w:tr>
      <w:tr w:rsidR="00034ED1" w:rsidRPr="00034ED1" w:rsidTr="00034ED1">
        <w:trPr>
          <w:trHeight w:val="443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34ED1" w:rsidRPr="00034ED1" w:rsidRDefault="00034ED1" w:rsidP="00034ED1">
            <w:pPr>
              <w:jc w:val="both"/>
              <w:rPr>
                <w:rFonts w:ascii="Verdana" w:hAnsi="Verdana"/>
                <w:bCs/>
                <w:sz w:val="20"/>
              </w:rPr>
            </w:pPr>
            <w:r w:rsidRPr="00034ED1">
              <w:rPr>
                <w:rFonts w:ascii="Verdana" w:hAnsi="Verdana"/>
                <w:bCs/>
                <w:sz w:val="20"/>
              </w:rPr>
              <w:t xml:space="preserve">Gasolina mayor o igual a 92 octanos y </w:t>
            </w:r>
            <w:proofErr w:type="spellStart"/>
            <w:r w:rsidRPr="00034ED1">
              <w:rPr>
                <w:rFonts w:ascii="Verdana" w:hAnsi="Verdana"/>
                <w:bCs/>
                <w:sz w:val="20"/>
              </w:rPr>
              <w:t>combustiblesno</w:t>
            </w:r>
            <w:proofErr w:type="spellEnd"/>
            <w:r w:rsidRPr="00034ED1">
              <w:rPr>
                <w:rFonts w:ascii="Verdana" w:hAnsi="Verdana"/>
                <w:bCs/>
                <w:sz w:val="20"/>
              </w:rPr>
              <w:t xml:space="preserve"> fósiles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34ED1" w:rsidRPr="00034ED1" w:rsidRDefault="00034ED1" w:rsidP="00034ED1">
            <w:pPr>
              <w:jc w:val="both"/>
              <w:rPr>
                <w:rFonts w:ascii="Verdana" w:hAnsi="Verdana"/>
                <w:bCs/>
                <w:sz w:val="20"/>
              </w:rPr>
            </w:pPr>
            <w:r w:rsidRPr="00034ED1">
              <w:rPr>
                <w:rFonts w:ascii="Verdana" w:hAnsi="Verdana"/>
                <w:bCs/>
                <w:sz w:val="20"/>
              </w:rPr>
              <w:t>20.20%</w:t>
            </w:r>
          </w:p>
        </w:tc>
      </w:tr>
      <w:tr w:rsidR="00034ED1" w:rsidRPr="00034ED1" w:rsidTr="00034ED1">
        <w:trPr>
          <w:trHeight w:val="246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34ED1" w:rsidRPr="00034ED1" w:rsidRDefault="00034ED1" w:rsidP="00034ED1">
            <w:pPr>
              <w:jc w:val="both"/>
              <w:rPr>
                <w:rFonts w:ascii="Verdana" w:hAnsi="Verdana"/>
                <w:bCs/>
                <w:sz w:val="20"/>
              </w:rPr>
            </w:pPr>
            <w:r w:rsidRPr="00034ED1">
              <w:rPr>
                <w:rFonts w:ascii="Verdana" w:hAnsi="Verdana"/>
                <w:bCs/>
                <w:sz w:val="20"/>
              </w:rPr>
              <w:t>Diésel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34ED1" w:rsidRPr="00034ED1" w:rsidRDefault="00034ED1" w:rsidP="00034ED1">
            <w:pPr>
              <w:jc w:val="both"/>
              <w:rPr>
                <w:rFonts w:ascii="Verdana" w:hAnsi="Verdana"/>
                <w:bCs/>
                <w:sz w:val="20"/>
              </w:rPr>
            </w:pPr>
            <w:r w:rsidRPr="00034ED1">
              <w:rPr>
                <w:rFonts w:ascii="Verdana" w:hAnsi="Verdana"/>
                <w:bCs/>
                <w:sz w:val="20"/>
              </w:rPr>
              <w:t>29.28%</w:t>
            </w:r>
          </w:p>
        </w:tc>
      </w:tr>
    </w:tbl>
    <w:p w:rsidR="00034ED1" w:rsidRPr="00034ED1" w:rsidRDefault="00034ED1" w:rsidP="00034ED1">
      <w:pPr>
        <w:jc w:val="both"/>
        <w:rPr>
          <w:rFonts w:ascii="Verdana" w:hAnsi="Verdana"/>
          <w:bCs/>
          <w:sz w:val="20"/>
        </w:rPr>
      </w:pPr>
      <w:r w:rsidRPr="00034ED1">
        <w:rPr>
          <w:rFonts w:ascii="Verdana" w:hAnsi="Verdana"/>
          <w:b/>
          <w:bCs/>
          <w:sz w:val="20"/>
        </w:rPr>
        <w:t>Artículo Segundo. </w:t>
      </w:r>
      <w:r w:rsidRPr="00034ED1">
        <w:rPr>
          <w:rFonts w:ascii="Verdana" w:hAnsi="Verdana"/>
          <w:bCs/>
          <w:sz w:val="20"/>
        </w:rPr>
        <w:t>Los montos del estímulo fiscal para el periodo comprendido del 27 de abril al 3 de mayo de 2019, aplicables a los combustibles automotrices son 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034ED1" w:rsidRPr="00034ED1" w:rsidTr="00034ED1">
        <w:trPr>
          <w:trHeight w:val="607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34ED1" w:rsidRPr="00034ED1" w:rsidRDefault="00034ED1" w:rsidP="00034ED1">
            <w:pPr>
              <w:jc w:val="both"/>
              <w:rPr>
                <w:rFonts w:ascii="Verdana" w:hAnsi="Verdana"/>
                <w:bCs/>
                <w:sz w:val="20"/>
              </w:rPr>
            </w:pPr>
            <w:r w:rsidRPr="00034ED1">
              <w:rPr>
                <w:rFonts w:ascii="Verdana" w:hAnsi="Verdana"/>
                <w:b/>
                <w:bCs/>
                <w:sz w:val="20"/>
              </w:rPr>
              <w:lastRenderedPageBreak/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34ED1" w:rsidRPr="00034ED1" w:rsidRDefault="00034ED1" w:rsidP="00034ED1">
            <w:pPr>
              <w:jc w:val="both"/>
              <w:rPr>
                <w:rFonts w:ascii="Verdana" w:hAnsi="Verdana"/>
                <w:bCs/>
                <w:sz w:val="20"/>
              </w:rPr>
            </w:pPr>
            <w:r w:rsidRPr="00034ED1">
              <w:rPr>
                <w:rFonts w:ascii="Verdana" w:hAnsi="Verdana"/>
                <w:b/>
                <w:bCs/>
                <w:sz w:val="20"/>
              </w:rPr>
              <w:t>Monto del estímulo fiscal</w:t>
            </w:r>
          </w:p>
          <w:p w:rsidR="00034ED1" w:rsidRPr="00034ED1" w:rsidRDefault="00034ED1" w:rsidP="00034ED1">
            <w:pPr>
              <w:jc w:val="both"/>
              <w:rPr>
                <w:rFonts w:ascii="Verdana" w:hAnsi="Verdana"/>
                <w:bCs/>
                <w:sz w:val="20"/>
              </w:rPr>
            </w:pPr>
            <w:r w:rsidRPr="00034ED1">
              <w:rPr>
                <w:rFonts w:ascii="Verdana" w:hAnsi="Verdana"/>
                <w:b/>
                <w:bCs/>
                <w:sz w:val="20"/>
              </w:rPr>
              <w:t>(pesos/litro)</w:t>
            </w:r>
          </w:p>
        </w:tc>
      </w:tr>
      <w:tr w:rsidR="00034ED1" w:rsidRPr="00034ED1" w:rsidTr="00034ED1">
        <w:trPr>
          <w:trHeight w:val="29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34ED1" w:rsidRPr="00034ED1" w:rsidRDefault="00034ED1" w:rsidP="00034ED1">
            <w:pPr>
              <w:jc w:val="both"/>
              <w:rPr>
                <w:rFonts w:ascii="Verdana" w:hAnsi="Verdana"/>
                <w:bCs/>
                <w:sz w:val="20"/>
              </w:rPr>
            </w:pPr>
            <w:r w:rsidRPr="00034ED1">
              <w:rPr>
                <w:rFonts w:ascii="Verdana" w:hAnsi="Verdana"/>
                <w:bCs/>
                <w:sz w:val="20"/>
              </w:rPr>
              <w:t>Gasolina menor a 92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034ED1" w:rsidRPr="00034ED1" w:rsidRDefault="00034ED1" w:rsidP="00034ED1">
            <w:pPr>
              <w:jc w:val="both"/>
              <w:rPr>
                <w:rFonts w:ascii="Verdana" w:hAnsi="Verdana"/>
                <w:bCs/>
                <w:sz w:val="20"/>
              </w:rPr>
            </w:pPr>
            <w:r w:rsidRPr="00034ED1">
              <w:rPr>
                <w:rFonts w:ascii="Verdana" w:hAnsi="Verdana"/>
                <w:bCs/>
                <w:sz w:val="20"/>
              </w:rPr>
              <w:t>$1.993</w:t>
            </w:r>
          </w:p>
        </w:tc>
      </w:tr>
      <w:tr w:rsidR="00034ED1" w:rsidRPr="00034ED1" w:rsidTr="00034ED1">
        <w:trPr>
          <w:trHeight w:val="512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34ED1" w:rsidRPr="00034ED1" w:rsidRDefault="00034ED1" w:rsidP="00034ED1">
            <w:pPr>
              <w:jc w:val="both"/>
              <w:rPr>
                <w:rFonts w:ascii="Verdana" w:hAnsi="Verdana"/>
                <w:bCs/>
                <w:sz w:val="20"/>
              </w:rPr>
            </w:pPr>
            <w:r w:rsidRPr="00034ED1">
              <w:rPr>
                <w:rFonts w:ascii="Verdana" w:hAnsi="Verdana"/>
                <w:bCs/>
                <w:sz w:val="20"/>
              </w:rPr>
              <w:t xml:space="preserve">Gasolina mayor o igual a 92 octanos y </w:t>
            </w:r>
            <w:proofErr w:type="spellStart"/>
            <w:r w:rsidRPr="00034ED1">
              <w:rPr>
                <w:rFonts w:ascii="Verdana" w:hAnsi="Verdana"/>
                <w:bCs/>
                <w:sz w:val="20"/>
              </w:rPr>
              <w:t>combustiblesno</w:t>
            </w:r>
            <w:proofErr w:type="spellEnd"/>
            <w:r w:rsidRPr="00034ED1">
              <w:rPr>
                <w:rFonts w:ascii="Verdana" w:hAnsi="Verdana"/>
                <w:bCs/>
                <w:sz w:val="20"/>
              </w:rPr>
              <w:t xml:space="preserve">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34ED1" w:rsidRPr="00034ED1" w:rsidRDefault="00034ED1" w:rsidP="00034ED1">
            <w:pPr>
              <w:jc w:val="both"/>
              <w:rPr>
                <w:rFonts w:ascii="Verdana" w:hAnsi="Verdana"/>
                <w:bCs/>
                <w:sz w:val="20"/>
              </w:rPr>
            </w:pPr>
            <w:r w:rsidRPr="00034ED1">
              <w:rPr>
                <w:rFonts w:ascii="Verdana" w:hAnsi="Verdana"/>
                <w:bCs/>
                <w:sz w:val="20"/>
              </w:rPr>
              <w:t>$0.820</w:t>
            </w:r>
          </w:p>
        </w:tc>
      </w:tr>
      <w:tr w:rsidR="00034ED1" w:rsidRPr="00034ED1" w:rsidTr="00034ED1">
        <w:trPr>
          <w:trHeight w:val="31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34ED1" w:rsidRPr="00034ED1" w:rsidRDefault="00034ED1" w:rsidP="00034ED1">
            <w:pPr>
              <w:jc w:val="both"/>
              <w:rPr>
                <w:rFonts w:ascii="Verdana" w:hAnsi="Verdana"/>
                <w:bCs/>
                <w:sz w:val="20"/>
              </w:rPr>
            </w:pPr>
            <w:r w:rsidRPr="00034ED1">
              <w:rPr>
                <w:rFonts w:ascii="Verdana" w:hAnsi="Verdana"/>
                <w:bCs/>
                <w:sz w:val="20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034ED1" w:rsidRPr="00034ED1" w:rsidRDefault="00034ED1" w:rsidP="00034ED1">
            <w:pPr>
              <w:jc w:val="both"/>
              <w:rPr>
                <w:rFonts w:ascii="Verdana" w:hAnsi="Verdana"/>
                <w:bCs/>
                <w:sz w:val="20"/>
              </w:rPr>
            </w:pPr>
            <w:r w:rsidRPr="00034ED1">
              <w:rPr>
                <w:rFonts w:ascii="Verdana" w:hAnsi="Verdana"/>
                <w:bCs/>
                <w:sz w:val="20"/>
              </w:rPr>
              <w:t>$1.546</w:t>
            </w:r>
          </w:p>
        </w:tc>
      </w:tr>
    </w:tbl>
    <w:p w:rsidR="00034ED1" w:rsidRPr="00034ED1" w:rsidRDefault="00034ED1" w:rsidP="00034ED1">
      <w:pPr>
        <w:jc w:val="both"/>
        <w:rPr>
          <w:rFonts w:ascii="Verdana" w:hAnsi="Verdana"/>
          <w:bCs/>
          <w:sz w:val="20"/>
        </w:rPr>
      </w:pPr>
      <w:r w:rsidRPr="00034ED1">
        <w:rPr>
          <w:rFonts w:ascii="Verdana" w:hAnsi="Verdana"/>
          <w:bCs/>
          <w:sz w:val="20"/>
        </w:rPr>
        <w:t> </w:t>
      </w:r>
    </w:p>
    <w:p w:rsidR="00034ED1" w:rsidRPr="00034ED1" w:rsidRDefault="00034ED1" w:rsidP="00034ED1">
      <w:pPr>
        <w:jc w:val="both"/>
        <w:rPr>
          <w:rFonts w:ascii="Verdana" w:hAnsi="Verdana"/>
          <w:bCs/>
          <w:sz w:val="20"/>
        </w:rPr>
      </w:pPr>
      <w:r w:rsidRPr="00034ED1">
        <w:rPr>
          <w:rFonts w:ascii="Verdana" w:hAnsi="Verdana"/>
          <w:b/>
          <w:bCs/>
          <w:sz w:val="20"/>
        </w:rPr>
        <w:t>Artículo Tercero.</w:t>
      </w:r>
      <w:r w:rsidRPr="00034ED1">
        <w:rPr>
          <w:rFonts w:ascii="Verdana" w:hAnsi="Verdana"/>
          <w:bCs/>
          <w:sz w:val="20"/>
        </w:rPr>
        <w:t> Las cuotas para el periodo comprendido del 27 de abril al 3 de mayo de 2019, aplicables a los combustibles automotrices son las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034ED1" w:rsidRPr="00034ED1" w:rsidTr="00034ED1">
        <w:trPr>
          <w:trHeight w:val="31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34ED1" w:rsidRPr="00034ED1" w:rsidRDefault="00034ED1" w:rsidP="00034ED1">
            <w:pPr>
              <w:jc w:val="both"/>
              <w:rPr>
                <w:rFonts w:ascii="Verdana" w:hAnsi="Verdana"/>
                <w:bCs/>
                <w:sz w:val="20"/>
              </w:rPr>
            </w:pPr>
            <w:r w:rsidRPr="00034ED1">
              <w:rPr>
                <w:rFonts w:ascii="Verdana" w:hAnsi="Verdana"/>
                <w:b/>
                <w:bCs/>
                <w:sz w:val="20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34ED1" w:rsidRPr="00034ED1" w:rsidRDefault="00034ED1" w:rsidP="00034ED1">
            <w:pPr>
              <w:jc w:val="both"/>
              <w:rPr>
                <w:rFonts w:ascii="Verdana" w:hAnsi="Verdana"/>
                <w:bCs/>
                <w:sz w:val="20"/>
              </w:rPr>
            </w:pPr>
            <w:r w:rsidRPr="00034ED1">
              <w:rPr>
                <w:rFonts w:ascii="Verdana" w:hAnsi="Verdana"/>
                <w:b/>
                <w:bCs/>
                <w:sz w:val="20"/>
              </w:rPr>
              <w:t>Cuota (pesos/litro)</w:t>
            </w:r>
          </w:p>
        </w:tc>
      </w:tr>
      <w:tr w:rsidR="00034ED1" w:rsidRPr="00034ED1" w:rsidTr="00034ED1">
        <w:trPr>
          <w:trHeight w:val="29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34ED1" w:rsidRPr="00034ED1" w:rsidRDefault="00034ED1" w:rsidP="00034ED1">
            <w:pPr>
              <w:jc w:val="both"/>
              <w:rPr>
                <w:rFonts w:ascii="Verdana" w:hAnsi="Verdana"/>
                <w:bCs/>
                <w:sz w:val="20"/>
              </w:rPr>
            </w:pPr>
            <w:r w:rsidRPr="00034ED1">
              <w:rPr>
                <w:rFonts w:ascii="Verdana" w:hAnsi="Verdana"/>
                <w:bCs/>
                <w:sz w:val="20"/>
              </w:rPr>
              <w:t>Gasolina menor a 92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34ED1" w:rsidRPr="00034ED1" w:rsidRDefault="00034ED1" w:rsidP="00034ED1">
            <w:pPr>
              <w:jc w:val="both"/>
              <w:rPr>
                <w:rFonts w:ascii="Verdana" w:hAnsi="Verdana"/>
                <w:bCs/>
                <w:sz w:val="20"/>
              </w:rPr>
            </w:pPr>
            <w:r w:rsidRPr="00034ED1">
              <w:rPr>
                <w:rFonts w:ascii="Verdana" w:hAnsi="Verdana"/>
                <w:bCs/>
                <w:sz w:val="20"/>
              </w:rPr>
              <w:t>$2.817</w:t>
            </w:r>
          </w:p>
        </w:tc>
      </w:tr>
      <w:tr w:rsidR="00034ED1" w:rsidRPr="00034ED1" w:rsidTr="00034ED1">
        <w:trPr>
          <w:trHeight w:val="512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34ED1" w:rsidRPr="00034ED1" w:rsidRDefault="00034ED1" w:rsidP="00034ED1">
            <w:pPr>
              <w:jc w:val="both"/>
              <w:rPr>
                <w:rFonts w:ascii="Verdana" w:hAnsi="Verdana"/>
                <w:bCs/>
                <w:sz w:val="20"/>
              </w:rPr>
            </w:pPr>
            <w:r w:rsidRPr="00034ED1">
              <w:rPr>
                <w:rFonts w:ascii="Verdana" w:hAnsi="Verdana"/>
                <w:bCs/>
                <w:sz w:val="20"/>
              </w:rPr>
              <w:t xml:space="preserve">Gasolina mayor o igual a 92 octanos y </w:t>
            </w:r>
            <w:proofErr w:type="spellStart"/>
            <w:r w:rsidRPr="00034ED1">
              <w:rPr>
                <w:rFonts w:ascii="Verdana" w:hAnsi="Verdana"/>
                <w:bCs/>
                <w:sz w:val="20"/>
              </w:rPr>
              <w:t>combustiblesno</w:t>
            </w:r>
            <w:proofErr w:type="spellEnd"/>
            <w:r w:rsidRPr="00034ED1">
              <w:rPr>
                <w:rFonts w:ascii="Verdana" w:hAnsi="Verdana"/>
                <w:bCs/>
                <w:sz w:val="20"/>
              </w:rPr>
              <w:t xml:space="preserve">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34ED1" w:rsidRPr="00034ED1" w:rsidRDefault="00034ED1" w:rsidP="00034ED1">
            <w:pPr>
              <w:jc w:val="both"/>
              <w:rPr>
                <w:rFonts w:ascii="Verdana" w:hAnsi="Verdana"/>
                <w:bCs/>
                <w:sz w:val="20"/>
              </w:rPr>
            </w:pPr>
            <w:r w:rsidRPr="00034ED1">
              <w:rPr>
                <w:rFonts w:ascii="Verdana" w:hAnsi="Verdana"/>
                <w:bCs/>
                <w:sz w:val="20"/>
              </w:rPr>
              <w:t>$3.240</w:t>
            </w:r>
          </w:p>
        </w:tc>
      </w:tr>
      <w:tr w:rsidR="00034ED1" w:rsidRPr="00034ED1" w:rsidTr="00034ED1">
        <w:trPr>
          <w:trHeight w:val="31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34ED1" w:rsidRPr="00034ED1" w:rsidRDefault="00034ED1" w:rsidP="00034ED1">
            <w:pPr>
              <w:jc w:val="both"/>
              <w:rPr>
                <w:rFonts w:ascii="Verdana" w:hAnsi="Verdana"/>
                <w:bCs/>
                <w:sz w:val="20"/>
              </w:rPr>
            </w:pPr>
            <w:r w:rsidRPr="00034ED1">
              <w:rPr>
                <w:rFonts w:ascii="Verdana" w:hAnsi="Verdana"/>
                <w:bCs/>
                <w:sz w:val="20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34ED1" w:rsidRPr="00034ED1" w:rsidRDefault="00034ED1" w:rsidP="00034ED1">
            <w:pPr>
              <w:jc w:val="both"/>
              <w:rPr>
                <w:rFonts w:ascii="Verdana" w:hAnsi="Verdana"/>
                <w:bCs/>
                <w:sz w:val="20"/>
              </w:rPr>
            </w:pPr>
            <w:r w:rsidRPr="00034ED1">
              <w:rPr>
                <w:rFonts w:ascii="Verdana" w:hAnsi="Verdana"/>
                <w:bCs/>
                <w:sz w:val="20"/>
              </w:rPr>
              <w:t>$3.734</w:t>
            </w:r>
          </w:p>
        </w:tc>
      </w:tr>
    </w:tbl>
    <w:p w:rsidR="00034ED1" w:rsidRPr="00034ED1" w:rsidRDefault="00034ED1" w:rsidP="00034ED1">
      <w:pPr>
        <w:jc w:val="both"/>
        <w:rPr>
          <w:rFonts w:ascii="Verdana" w:hAnsi="Verdana"/>
          <w:bCs/>
          <w:sz w:val="20"/>
        </w:rPr>
      </w:pPr>
      <w:r w:rsidRPr="00034ED1">
        <w:rPr>
          <w:rFonts w:ascii="Verdana" w:hAnsi="Verdana"/>
          <w:bCs/>
          <w:sz w:val="20"/>
        </w:rPr>
        <w:t> </w:t>
      </w:r>
    </w:p>
    <w:p w:rsidR="00034ED1" w:rsidRPr="00034ED1" w:rsidRDefault="00034ED1" w:rsidP="00034ED1">
      <w:pPr>
        <w:jc w:val="both"/>
        <w:rPr>
          <w:rFonts w:ascii="Verdana" w:hAnsi="Verdana"/>
          <w:b/>
          <w:bCs/>
          <w:sz w:val="20"/>
        </w:rPr>
      </w:pPr>
      <w:r w:rsidRPr="00034ED1">
        <w:rPr>
          <w:rFonts w:ascii="Verdana" w:hAnsi="Verdana"/>
          <w:b/>
          <w:bCs/>
          <w:sz w:val="20"/>
        </w:rPr>
        <w:t>TRANSITORIO</w:t>
      </w:r>
    </w:p>
    <w:p w:rsidR="00034ED1" w:rsidRPr="00034ED1" w:rsidRDefault="00034ED1" w:rsidP="00034ED1">
      <w:pPr>
        <w:jc w:val="both"/>
        <w:rPr>
          <w:rFonts w:ascii="Verdana" w:hAnsi="Verdana"/>
          <w:bCs/>
          <w:sz w:val="20"/>
        </w:rPr>
      </w:pPr>
      <w:r w:rsidRPr="00034ED1">
        <w:rPr>
          <w:rFonts w:ascii="Verdana" w:hAnsi="Verdana"/>
          <w:b/>
          <w:bCs/>
          <w:sz w:val="20"/>
        </w:rPr>
        <w:t>Primero.-</w:t>
      </w:r>
      <w:r w:rsidRPr="00034ED1">
        <w:rPr>
          <w:rFonts w:ascii="Verdana" w:hAnsi="Verdana"/>
          <w:bCs/>
          <w:sz w:val="20"/>
        </w:rPr>
        <w:t> El presente Acuerdo entrará en vigor al día siguiente de su publicación en el Diario Oficial de la Federación.</w:t>
      </w:r>
    </w:p>
    <w:p w:rsidR="00034ED1" w:rsidRPr="00034ED1" w:rsidRDefault="00034ED1" w:rsidP="00034ED1">
      <w:pPr>
        <w:jc w:val="both"/>
        <w:rPr>
          <w:rFonts w:ascii="Verdana" w:hAnsi="Verdana"/>
          <w:bCs/>
          <w:sz w:val="20"/>
        </w:rPr>
      </w:pPr>
      <w:r w:rsidRPr="00034ED1">
        <w:rPr>
          <w:rFonts w:ascii="Verdana" w:hAnsi="Verdana"/>
          <w:bCs/>
          <w:sz w:val="20"/>
        </w:rPr>
        <w:t>Ciudad de México, a 25 de abril de 2019.- Con fundamento en el artículo Primero, último párrafo del Decreto por el que se establecen estímulos fiscales en materia del impuesto especial sobre producción y servicios aplicables a los combustibles que se indican, en suplencia del C. Subsecretario de Hacienda y Crédito Público, el Titular de la Unidad de Política de Ingresos No Tributarios, </w:t>
      </w:r>
      <w:r w:rsidRPr="00034ED1">
        <w:rPr>
          <w:rFonts w:ascii="Verdana" w:hAnsi="Verdana"/>
          <w:b/>
          <w:bCs/>
          <w:sz w:val="20"/>
        </w:rPr>
        <w:t xml:space="preserve">Iván </w:t>
      </w:r>
      <w:proofErr w:type="spellStart"/>
      <w:r w:rsidRPr="00034ED1">
        <w:rPr>
          <w:rFonts w:ascii="Verdana" w:hAnsi="Verdana"/>
          <w:b/>
          <w:bCs/>
          <w:sz w:val="20"/>
        </w:rPr>
        <w:t>Cajeme</w:t>
      </w:r>
      <w:proofErr w:type="spellEnd"/>
      <w:r w:rsidRPr="00034ED1">
        <w:rPr>
          <w:rFonts w:ascii="Verdana" w:hAnsi="Verdana"/>
          <w:b/>
          <w:bCs/>
          <w:sz w:val="20"/>
        </w:rPr>
        <w:t xml:space="preserve"> Villarreal Camero</w:t>
      </w:r>
      <w:r w:rsidRPr="00034ED1">
        <w:rPr>
          <w:rFonts w:ascii="Verdana" w:hAnsi="Verdana"/>
          <w:bCs/>
          <w:sz w:val="20"/>
        </w:rPr>
        <w:t>.- Rúbrica.</w:t>
      </w:r>
    </w:p>
    <w:p w:rsidR="00034ED1" w:rsidRPr="00034ED1" w:rsidRDefault="00034ED1" w:rsidP="00034ED1">
      <w:pPr>
        <w:jc w:val="both"/>
        <w:rPr>
          <w:rFonts w:ascii="Verdana" w:hAnsi="Verdana"/>
          <w:bCs/>
          <w:sz w:val="20"/>
        </w:rPr>
      </w:pPr>
      <w:r w:rsidRPr="00034ED1">
        <w:rPr>
          <w:rFonts w:ascii="Verdana" w:hAnsi="Verdana"/>
          <w:bCs/>
          <w:sz w:val="20"/>
        </w:rPr>
        <w:t> </w:t>
      </w:r>
    </w:p>
    <w:p w:rsidR="00034ED1" w:rsidRPr="00034ED1" w:rsidRDefault="00034ED1" w:rsidP="00034ED1">
      <w:pPr>
        <w:jc w:val="both"/>
        <w:rPr>
          <w:rFonts w:ascii="Verdana" w:hAnsi="Verdana"/>
          <w:bCs/>
          <w:sz w:val="20"/>
        </w:rPr>
      </w:pPr>
    </w:p>
    <w:p w:rsidR="00BF3AEB" w:rsidRDefault="00034ED1"/>
    <w:sectPr w:rsidR="00BF3A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ED1"/>
    <w:rsid w:val="00034ED1"/>
    <w:rsid w:val="002228FA"/>
    <w:rsid w:val="00C0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5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0408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028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635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132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2260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2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0073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5599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051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7894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0637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0854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3110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45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22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6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1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3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2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5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2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0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5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5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1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14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848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3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2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6181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996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1519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4302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972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5334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6490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3876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09252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8657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59184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139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4506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0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0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4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2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5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8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4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0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9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9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0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7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8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8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6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74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9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319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5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1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7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464</Words>
  <Characters>2553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Alejandra Torres Orozco</dc:creator>
  <cp:lastModifiedBy>Valeria Alejandra Torres Orozco</cp:lastModifiedBy>
  <cp:revision>1</cp:revision>
  <dcterms:created xsi:type="dcterms:W3CDTF">2019-04-26T13:07:00Z</dcterms:created>
  <dcterms:modified xsi:type="dcterms:W3CDTF">2019-04-26T13:15:00Z</dcterms:modified>
</cp:coreProperties>
</file>