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37" w:rsidRPr="000D3237" w:rsidRDefault="000D3237" w:rsidP="000D3237">
      <w:pPr>
        <w:jc w:val="center"/>
        <w:rPr>
          <w:rFonts w:ascii="Verdana" w:hAnsi="Verdana"/>
          <w:b/>
          <w:bCs/>
          <w:color w:val="0070C0"/>
          <w:sz w:val="24"/>
        </w:rPr>
      </w:pPr>
      <w:r w:rsidRPr="000D3237">
        <w:rPr>
          <w:rFonts w:ascii="Verdana" w:hAnsi="Verdana"/>
          <w:b/>
          <w:bCs/>
          <w:color w:val="0070C0"/>
          <w:sz w:val="24"/>
        </w:rPr>
        <w:t>Acuerdo por el que se dan a conocer diversas disposiciones normativas internas de la Comisión Nacional para la Protección y Defensa de los Usuarios de Servicios Financieros</w:t>
      </w:r>
    </w:p>
    <w:p w:rsidR="000D3237" w:rsidRPr="000D3237" w:rsidRDefault="000D3237" w:rsidP="000D3237">
      <w:pPr>
        <w:jc w:val="center"/>
        <w:rPr>
          <w:rFonts w:ascii="Verdana" w:hAnsi="Verdana"/>
          <w:b/>
          <w:bCs/>
          <w:color w:val="0070C0"/>
          <w:sz w:val="24"/>
        </w:rPr>
      </w:pPr>
      <w:r w:rsidRPr="000D3237">
        <w:rPr>
          <w:rFonts w:ascii="Verdana" w:hAnsi="Verdana"/>
          <w:b/>
          <w:bCs/>
          <w:color w:val="0070C0"/>
          <w:sz w:val="24"/>
        </w:rPr>
        <w:t>(DOF del 28 de octubre de 2019)</w:t>
      </w:r>
    </w:p>
    <w:p w:rsidR="000D3237" w:rsidRPr="000D3237" w:rsidRDefault="000D3237" w:rsidP="000D3237">
      <w:pPr>
        <w:rPr>
          <w:rFonts w:ascii="Verdana" w:hAnsi="Verdana"/>
          <w:b/>
          <w:bCs/>
          <w:sz w:val="20"/>
        </w:rPr>
      </w:pPr>
      <w:r w:rsidRPr="000D3237">
        <w:rPr>
          <w:rFonts w:ascii="Verdana" w:hAnsi="Verdana"/>
          <w:b/>
          <w:bCs/>
          <w:sz w:val="20"/>
        </w:rPr>
        <w:t>Al margen un sello con el Escudo Nacional, que dice: Estados Unidos Mexicanos.- HACIENDA.- Secretaría de Hacienda y Crédito Público.- Comisión Nacional para la Protección y Defensa de los Usuarios de Servicios Financieros.</w:t>
      </w:r>
    </w:p>
    <w:p w:rsidR="000D3237" w:rsidRPr="000D3237" w:rsidRDefault="000D3237" w:rsidP="000D3237">
      <w:pPr>
        <w:rPr>
          <w:rFonts w:ascii="Verdana" w:hAnsi="Verdana"/>
          <w:sz w:val="20"/>
        </w:rPr>
      </w:pPr>
      <w:r w:rsidRPr="000D3237">
        <w:rPr>
          <w:rFonts w:ascii="Verdana" w:hAnsi="Verdana"/>
          <w:sz w:val="20"/>
        </w:rPr>
        <w:t>OSCAR ROSADO JIMÉNEZ, Presidente de la Comisión Nacional para la Protección y Defensa de los Usuarios de Servicios Financieros (CONDUSEF), con fundamento en lo dispuesto por los artículos 59, fracciones I y V de la Ley Federal de las Entidades Paraestatales; 4 de la Ley Federal de Procedimiento Administrativo; 16 y 26, fracción I de la Ley de Protección y Defensa al Usuario de Servicios Financieros, y 12, primer párrafo del Estatuto Orgánico de la CONDUSEF, y</w:t>
      </w:r>
    </w:p>
    <w:p w:rsidR="000D3237" w:rsidRPr="000D3237" w:rsidRDefault="000D3237" w:rsidP="000D3237">
      <w:pPr>
        <w:rPr>
          <w:rFonts w:ascii="Verdana" w:hAnsi="Verdana"/>
          <w:b/>
          <w:bCs/>
          <w:sz w:val="20"/>
        </w:rPr>
      </w:pPr>
      <w:r w:rsidRPr="000D3237">
        <w:rPr>
          <w:rFonts w:ascii="Verdana" w:hAnsi="Verdana"/>
          <w:b/>
          <w:bCs/>
          <w:sz w:val="20"/>
        </w:rPr>
        <w:t>CONSIDERANDO</w:t>
      </w:r>
    </w:p>
    <w:p w:rsidR="000D3237" w:rsidRPr="000D3237" w:rsidRDefault="000D3237" w:rsidP="000D3237">
      <w:pPr>
        <w:rPr>
          <w:rFonts w:ascii="Verdana" w:hAnsi="Verdana"/>
          <w:sz w:val="20"/>
        </w:rPr>
      </w:pPr>
      <w:r w:rsidRPr="000D3237">
        <w:rPr>
          <w:rFonts w:ascii="Verdana" w:hAnsi="Verdana"/>
          <w:sz w:val="20"/>
        </w:rPr>
        <w:t>I.     Que la Comisión Nacional para la Protección y Defensa de los Usuarios de Servicios Financieros es un organismo público descentralizado de la Administración Pública Federal, con personalidad jurídica y patrimonio propios, que tiene encomendada la protección y defensa de los derechos e intereses de los usuarios, cuyo objetivo prioritario es procurar la equidad en las relaciones entre estos y las Instituciones Financieras, otorgando a los primeros elementos para fortalecer la seguridad jurídica en las operaciones que realicen y en las relaciones que establezcan con las segundas.</w:t>
      </w:r>
    </w:p>
    <w:p w:rsidR="000D3237" w:rsidRPr="000D3237" w:rsidRDefault="000D3237" w:rsidP="000D3237">
      <w:pPr>
        <w:rPr>
          <w:rFonts w:ascii="Verdana" w:hAnsi="Verdana"/>
          <w:sz w:val="20"/>
        </w:rPr>
      </w:pPr>
      <w:r w:rsidRPr="000D3237">
        <w:rPr>
          <w:rFonts w:ascii="Verdana" w:hAnsi="Verdana"/>
          <w:sz w:val="20"/>
        </w:rPr>
        <w:t>II.     Que la Ley Federal de Procedimiento Administrativo regula los actos emitidos por los organismos descentralizados de la Administración Pública Federal, estableciendo en su artículo 4, la obligación de que los actos administrativos de carácter general, tales como reglamentos, decretos, acuerdos, normas oficiales mexicanas,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de la administración pública federal, deberán publicarse en el Diario Oficial de la Federación para que produzcan efectos jurídicos.</w:t>
      </w:r>
    </w:p>
    <w:p w:rsidR="000D3237" w:rsidRPr="000D3237" w:rsidRDefault="000D3237" w:rsidP="000D3237">
      <w:pPr>
        <w:rPr>
          <w:rFonts w:ascii="Verdana" w:hAnsi="Verdana"/>
          <w:sz w:val="20"/>
        </w:rPr>
      </w:pPr>
      <w:r w:rsidRPr="000D3237">
        <w:rPr>
          <w:rFonts w:ascii="Verdana" w:hAnsi="Verdana"/>
          <w:sz w:val="20"/>
        </w:rPr>
        <w:t>III.    Que la Secretaría de la Función Pública, a través del Sistema de Administración de Normas Internas (SANI), con fundamento en el </w:t>
      </w:r>
      <w:r w:rsidRPr="000D3237">
        <w:rPr>
          <w:rFonts w:ascii="Verdana" w:hAnsi="Verdana"/>
          <w:i/>
          <w:iCs/>
          <w:sz w:val="20"/>
        </w:rPr>
        <w:t>"Acuerdo por el que se instruye a las dependencias y entidades de la Administración Pública Federal, así como a la Procuraduría General de la República a abstenerse de emitir regulación en las materias que se indican"</w:t>
      </w:r>
      <w:r w:rsidRPr="000D3237">
        <w:rPr>
          <w:rFonts w:ascii="Verdana" w:hAnsi="Verdana"/>
          <w:sz w:val="20"/>
        </w:rPr>
        <w:t xml:space="preserve">, publicado en el Diario Oficial de la Federación el 10 de agosto de 2010 y reformado mediante Acuerdo publicado en el Diario Oficial de la Federación el día 21 de agosto de 2012, determinó que las 7 Disposiciones Normativas Internas de la </w:t>
      </w:r>
      <w:r w:rsidRPr="000D3237">
        <w:rPr>
          <w:rFonts w:ascii="Verdana" w:hAnsi="Verdana"/>
          <w:sz w:val="20"/>
        </w:rPr>
        <w:lastRenderedPageBreak/>
        <w:t>Comisión Nacional para la Protección y Defensa de los Usuarios de Servicios Financieros, indicadas en el artículo PRIMERO del presente, se ubican en los supuestos de exención previstos en las fracciones II y IV del artículo Segundo del citado Acuerdo, por lo que deben publicarse en el Diario Oficial de la Federación, por lo que he tenido a bien expedir el siguiente:</w:t>
      </w:r>
    </w:p>
    <w:p w:rsidR="000D3237" w:rsidRPr="000D3237" w:rsidRDefault="000D3237" w:rsidP="000D3237">
      <w:pPr>
        <w:rPr>
          <w:rFonts w:ascii="Verdana" w:hAnsi="Verdana"/>
          <w:b/>
          <w:bCs/>
          <w:sz w:val="20"/>
        </w:rPr>
      </w:pPr>
      <w:r w:rsidRPr="000D3237">
        <w:rPr>
          <w:rFonts w:ascii="Verdana" w:hAnsi="Verdana"/>
          <w:b/>
          <w:bCs/>
          <w:sz w:val="20"/>
        </w:rPr>
        <w:t>ACUERDO POR EL QUE SE DAN A CONOCER DIVERSAS DISPOSICIONES NORMATIVAS INTERNAS</w:t>
      </w:r>
      <w:r w:rsidRPr="000D3237">
        <w:rPr>
          <w:rFonts w:ascii="Verdana" w:hAnsi="Verdana"/>
          <w:b/>
          <w:bCs/>
          <w:sz w:val="20"/>
        </w:rPr>
        <w:br/>
        <w:t>DE LA COMISIÓN NACIONAL PARA LA PROTECCIÓN Y DEFENSA DE LOS USUARIOS DE SERVICIOS</w:t>
      </w:r>
      <w:r w:rsidRPr="000D3237">
        <w:rPr>
          <w:rFonts w:ascii="Verdana" w:hAnsi="Verdana"/>
          <w:b/>
          <w:bCs/>
          <w:sz w:val="20"/>
        </w:rPr>
        <w:br/>
        <w:t>FINANCIEROS</w:t>
      </w:r>
    </w:p>
    <w:p w:rsidR="000D3237" w:rsidRPr="000D3237" w:rsidRDefault="000D3237" w:rsidP="000D3237">
      <w:pPr>
        <w:rPr>
          <w:rFonts w:ascii="Verdana" w:hAnsi="Verdana"/>
          <w:sz w:val="20"/>
        </w:rPr>
      </w:pPr>
      <w:r w:rsidRPr="000D3237">
        <w:rPr>
          <w:rFonts w:ascii="Verdana" w:hAnsi="Verdana"/>
          <w:b/>
          <w:bCs/>
          <w:sz w:val="20"/>
        </w:rPr>
        <w:t>ARTÍCULO PRIMERO. </w:t>
      </w:r>
      <w:r w:rsidRPr="000D3237">
        <w:rPr>
          <w:rFonts w:ascii="Verdana" w:hAnsi="Verdana"/>
          <w:sz w:val="20"/>
        </w:rPr>
        <w:t>La Comisión Nacional para la Protección y Defensa de los Usuarios de Servicios Financieros informa que las siguientes disposiciones normativas internas pueden ser consultadas en las ligas electrónicas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2650"/>
        <w:gridCol w:w="5838"/>
      </w:tblGrid>
      <w:tr w:rsidR="000D3237" w:rsidRPr="000D3237" w:rsidTr="000D3237">
        <w:trPr>
          <w:trHeight w:val="25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b/>
                <w:bCs/>
                <w:sz w:val="20"/>
              </w:rPr>
              <w:t>No.</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b/>
                <w:bCs/>
                <w:sz w:val="20"/>
              </w:rPr>
              <w:t>Denominación</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b/>
                <w:bCs/>
                <w:sz w:val="20"/>
              </w:rPr>
              <w:t>Dirección Electrónica</w:t>
            </w:r>
          </w:p>
        </w:tc>
      </w:tr>
      <w:tr w:rsidR="000D3237" w:rsidRPr="000D3237" w:rsidTr="000D3237">
        <w:trPr>
          <w:trHeight w:val="88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1</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Manual de Integración y Funcionamiento del Comité de Adquisiciones, Arrendamientos y Servicios.</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https://www.condusef.gob.mx/gbmx/documentos/transparencia/normateca-interna/M-integrac-func-cmte-adqs-arrend-serv.pdf</w:t>
            </w:r>
          </w:p>
          <w:p w:rsidR="000D3237" w:rsidRPr="000D3237" w:rsidRDefault="000D3237" w:rsidP="000D3237">
            <w:pPr>
              <w:rPr>
                <w:rFonts w:ascii="Verdana" w:hAnsi="Verdana"/>
                <w:sz w:val="20"/>
              </w:rPr>
            </w:pPr>
            <w:r w:rsidRPr="000D3237">
              <w:rPr>
                <w:rFonts w:ascii="Verdana" w:hAnsi="Verdana"/>
                <w:sz w:val="20"/>
              </w:rPr>
              <w:t>www.dof.gob.mx/2019/CONDUSEF/M-integrac-func-cmte-adqs-arrend-serv.pdf</w:t>
            </w:r>
          </w:p>
        </w:tc>
      </w:tr>
      <w:tr w:rsidR="000D3237" w:rsidRPr="000D3237" w:rsidTr="000D3237">
        <w:trPr>
          <w:trHeight w:val="104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2</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Manual de Integración y Funcionamiento del Subcomité de Adquisiciones, Arrendamientos y Servicios.</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https://www.condusef.gob.mx/gbmx/documentos/transparencia/normateca-interna/Man-integra-funcionam-SubCmteAdqArrend-Serv.pdf</w:t>
            </w:r>
          </w:p>
          <w:p w:rsidR="000D3237" w:rsidRPr="000D3237" w:rsidRDefault="000D3237" w:rsidP="000D3237">
            <w:pPr>
              <w:rPr>
                <w:rFonts w:ascii="Verdana" w:hAnsi="Verdana"/>
                <w:sz w:val="20"/>
              </w:rPr>
            </w:pPr>
            <w:r w:rsidRPr="000D3237">
              <w:rPr>
                <w:rFonts w:ascii="Verdana" w:hAnsi="Verdana"/>
                <w:sz w:val="20"/>
              </w:rPr>
              <w:t>www.dof.gob.mx/2019/CONDUSEF/Man-integra-funcionam-SubCmteAdqArrend-Serv.pdf</w:t>
            </w:r>
          </w:p>
        </w:tc>
      </w:tr>
      <w:tr w:rsidR="000D3237" w:rsidRPr="000D3237" w:rsidTr="000D3237">
        <w:trPr>
          <w:trHeight w:val="84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3</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Políticas, Bases y Lineamientos en materia de Adquisiciones, Arrendamientos y Servicios.</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https://www.condusef.gob.mx/gbmx/documentos/transparencia/normateca-interna/PoBaLiNeS.pdf</w:t>
            </w:r>
          </w:p>
          <w:p w:rsidR="000D3237" w:rsidRPr="000D3237" w:rsidRDefault="000D3237" w:rsidP="000D3237">
            <w:pPr>
              <w:rPr>
                <w:rFonts w:ascii="Verdana" w:hAnsi="Verdana"/>
                <w:sz w:val="20"/>
              </w:rPr>
            </w:pPr>
            <w:r w:rsidRPr="000D3237">
              <w:rPr>
                <w:rFonts w:ascii="Verdana" w:hAnsi="Verdana"/>
                <w:sz w:val="20"/>
              </w:rPr>
              <w:t>www.dof.gob.mx/2019/CONDUSEF/PoBaLiNeS.pdf</w:t>
            </w:r>
          </w:p>
        </w:tc>
      </w:tr>
    </w:tbl>
    <w:p w:rsidR="000D3237" w:rsidRPr="000D3237" w:rsidRDefault="000D3237" w:rsidP="000D3237">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1965"/>
        <w:gridCol w:w="6693"/>
      </w:tblGrid>
      <w:tr w:rsidR="000D3237" w:rsidRPr="000D3237" w:rsidTr="000D3237">
        <w:trPr>
          <w:trHeight w:val="88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4</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Manual de Integración y Funcionamiento del Comité de Bienes Muebles.</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https://www.condusef.gob.mx/gbmx/documentos/transparencia/normateca-interna/Manual-integrac-funcionam-cmt-bienes-muebles.pdf</w:t>
            </w:r>
          </w:p>
          <w:p w:rsidR="000D3237" w:rsidRPr="000D3237" w:rsidRDefault="000D3237" w:rsidP="000D3237">
            <w:pPr>
              <w:rPr>
                <w:rFonts w:ascii="Verdana" w:hAnsi="Verdana"/>
                <w:sz w:val="20"/>
              </w:rPr>
            </w:pPr>
            <w:r w:rsidRPr="000D3237">
              <w:rPr>
                <w:rFonts w:ascii="Verdana" w:hAnsi="Verdana"/>
                <w:sz w:val="20"/>
              </w:rPr>
              <w:t>www.dof.gob.mx/2019/CONDUSEF/Manual-integrac-funcionam-cmt-bienes-muebles.pdf</w:t>
            </w:r>
          </w:p>
        </w:tc>
      </w:tr>
      <w:tr w:rsidR="000D3237" w:rsidRPr="000D3237" w:rsidTr="000D3237">
        <w:trPr>
          <w:trHeight w:val="698"/>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lastRenderedPageBreak/>
              <w:t>5</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Manual de procedimientos de Almacén.</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https://www.condusef.gob.mx/gbmx/documentos/transparencia/normateca-interna/MP-almacen.pdf</w:t>
            </w:r>
          </w:p>
          <w:p w:rsidR="000D3237" w:rsidRPr="000D3237" w:rsidRDefault="000D3237" w:rsidP="000D3237">
            <w:pPr>
              <w:rPr>
                <w:rFonts w:ascii="Verdana" w:hAnsi="Verdana"/>
                <w:sz w:val="20"/>
              </w:rPr>
            </w:pPr>
            <w:r w:rsidRPr="000D3237">
              <w:rPr>
                <w:rFonts w:ascii="Verdana" w:hAnsi="Verdana"/>
                <w:sz w:val="20"/>
              </w:rPr>
              <w:t>www.dof.gob.mx/2019/CONDUSEF/MP-almacen.pdf</w:t>
            </w:r>
          </w:p>
        </w:tc>
      </w:tr>
      <w:tr w:rsidR="000D3237" w:rsidRPr="000D3237" w:rsidTr="000D3237">
        <w:trPr>
          <w:trHeight w:val="904"/>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6</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Manual del Procedimiento para la Asignación de Suficiencia y Control Presupuestal.</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https://www.condusef.gob.mx/gbmx/documentos/transparencia/normateca-interna/MP-asignac-suficiencia-ctrl-presup.pdf</w:t>
            </w:r>
          </w:p>
          <w:p w:rsidR="000D3237" w:rsidRPr="000D3237" w:rsidRDefault="000D3237" w:rsidP="000D3237">
            <w:pPr>
              <w:rPr>
                <w:rFonts w:ascii="Verdana" w:hAnsi="Verdana"/>
                <w:sz w:val="20"/>
              </w:rPr>
            </w:pPr>
            <w:r w:rsidRPr="000D3237">
              <w:rPr>
                <w:rFonts w:ascii="Verdana" w:hAnsi="Verdana"/>
                <w:sz w:val="20"/>
              </w:rPr>
              <w:t>www.dof.gob.mx/2019/CONDUSEF/MP-asignac-suficiencia-ctrl-presup.pdf</w:t>
            </w:r>
          </w:p>
        </w:tc>
      </w:tr>
      <w:tr w:rsidR="000D3237" w:rsidRPr="000D3237" w:rsidTr="000D3237">
        <w:trPr>
          <w:trHeight w:val="112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7</w:t>
            </w:r>
          </w:p>
        </w:tc>
        <w:tc>
          <w:tcPr>
            <w:tcW w:w="2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 xml:space="preserve">Manual del Procedimiento para la Operación de Fondos </w:t>
            </w:r>
            <w:proofErr w:type="spellStart"/>
            <w:r w:rsidRPr="000D3237">
              <w:rPr>
                <w:rFonts w:ascii="Verdana" w:hAnsi="Verdana"/>
                <w:sz w:val="20"/>
              </w:rPr>
              <w:t>Revolventes</w:t>
            </w:r>
            <w:proofErr w:type="spellEnd"/>
            <w:r w:rsidRPr="000D3237">
              <w:rPr>
                <w:rFonts w:ascii="Verdana" w:hAnsi="Verdana"/>
                <w:sz w:val="20"/>
              </w:rPr>
              <w:t>.</w:t>
            </w:r>
          </w:p>
        </w:tc>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237" w:rsidRPr="000D3237" w:rsidRDefault="000D3237" w:rsidP="000D3237">
            <w:pPr>
              <w:rPr>
                <w:rFonts w:ascii="Verdana" w:hAnsi="Verdana"/>
                <w:sz w:val="20"/>
              </w:rPr>
            </w:pPr>
            <w:r w:rsidRPr="000D3237">
              <w:rPr>
                <w:rFonts w:ascii="Verdana" w:hAnsi="Verdana"/>
                <w:sz w:val="20"/>
              </w:rPr>
              <w:t>https://www.condusef.gob.mx/gbmx/documentos/transparencia/normateca-interna/Manual-de-procedimientos-para-la-operacion-de-fondos-revolventes.pdf</w:t>
            </w:r>
          </w:p>
          <w:p w:rsidR="000D3237" w:rsidRPr="000D3237" w:rsidRDefault="000D3237" w:rsidP="000D3237">
            <w:pPr>
              <w:rPr>
                <w:rFonts w:ascii="Verdana" w:hAnsi="Verdana"/>
                <w:sz w:val="20"/>
              </w:rPr>
            </w:pPr>
            <w:r w:rsidRPr="000D3237">
              <w:rPr>
                <w:rFonts w:ascii="Verdana" w:hAnsi="Verdana"/>
                <w:sz w:val="20"/>
              </w:rPr>
              <w:t>www.dof.gob.mx/2019/CONDUSEF/Manual-de-procedimientos-para-la-operacion-de-fondos-revolventes.pdf</w:t>
            </w:r>
          </w:p>
        </w:tc>
      </w:tr>
    </w:tbl>
    <w:p w:rsidR="000D3237" w:rsidRPr="000D3237" w:rsidRDefault="000D3237" w:rsidP="000D3237">
      <w:pPr>
        <w:rPr>
          <w:rFonts w:ascii="Verdana" w:hAnsi="Verdana"/>
          <w:sz w:val="20"/>
        </w:rPr>
      </w:pPr>
      <w:r w:rsidRPr="000D3237">
        <w:rPr>
          <w:rFonts w:ascii="Verdana" w:hAnsi="Verdana"/>
          <w:sz w:val="20"/>
        </w:rPr>
        <w:t> </w:t>
      </w:r>
    </w:p>
    <w:p w:rsidR="000D3237" w:rsidRPr="000D3237" w:rsidRDefault="000D3237" w:rsidP="000D3237">
      <w:pPr>
        <w:rPr>
          <w:rFonts w:ascii="Verdana" w:hAnsi="Verdana"/>
          <w:sz w:val="20"/>
        </w:rPr>
      </w:pPr>
      <w:r w:rsidRPr="000D3237">
        <w:rPr>
          <w:rFonts w:ascii="Verdana" w:hAnsi="Verdana"/>
          <w:b/>
          <w:bCs/>
          <w:sz w:val="20"/>
        </w:rPr>
        <w:t>ARTÍCULO SEGUNDO.</w:t>
      </w:r>
      <w:r w:rsidRPr="000D3237">
        <w:rPr>
          <w:rFonts w:ascii="Verdana" w:hAnsi="Verdana"/>
          <w:sz w:val="20"/>
        </w:rPr>
        <w:t> Las Disposiciones Normativas Internas que se dan a conocer con el presente acuerdo son de observancia obligatoria para todos los servidores públicos de la Comisión Nacional para la Protección y Defensa de los Usuarios de Servicios Financieros.</w:t>
      </w:r>
    </w:p>
    <w:p w:rsidR="000D3237" w:rsidRPr="000D3237" w:rsidRDefault="000D3237" w:rsidP="000D3237">
      <w:pPr>
        <w:rPr>
          <w:rFonts w:ascii="Verdana" w:hAnsi="Verdana"/>
          <w:b/>
          <w:bCs/>
          <w:sz w:val="20"/>
        </w:rPr>
      </w:pPr>
      <w:r w:rsidRPr="000D3237">
        <w:rPr>
          <w:rFonts w:ascii="Verdana" w:hAnsi="Verdana"/>
          <w:b/>
          <w:bCs/>
          <w:sz w:val="20"/>
        </w:rPr>
        <w:t>TRANSITORIO</w:t>
      </w:r>
    </w:p>
    <w:p w:rsidR="000D3237" w:rsidRPr="000D3237" w:rsidRDefault="000D3237" w:rsidP="000D3237">
      <w:pPr>
        <w:rPr>
          <w:rFonts w:ascii="Verdana" w:hAnsi="Verdana"/>
          <w:sz w:val="20"/>
        </w:rPr>
      </w:pPr>
      <w:r w:rsidRPr="000D3237">
        <w:rPr>
          <w:rFonts w:ascii="Verdana" w:hAnsi="Verdana"/>
          <w:b/>
          <w:bCs/>
          <w:sz w:val="20"/>
        </w:rPr>
        <w:t>ÚNICO. </w:t>
      </w:r>
      <w:r w:rsidRPr="000D3237">
        <w:rPr>
          <w:rFonts w:ascii="Verdana" w:hAnsi="Verdana"/>
          <w:sz w:val="20"/>
        </w:rPr>
        <w:t>El presente Acuerdo entrará en vigor al día siguiente de su publicación en el Diario Oficial de la Federación.</w:t>
      </w:r>
    </w:p>
    <w:p w:rsidR="000D3237" w:rsidRPr="000D3237" w:rsidRDefault="000D3237" w:rsidP="000D3237">
      <w:pPr>
        <w:rPr>
          <w:rFonts w:ascii="Verdana" w:hAnsi="Verdana"/>
          <w:sz w:val="20"/>
        </w:rPr>
      </w:pPr>
      <w:r w:rsidRPr="000D3237">
        <w:rPr>
          <w:rFonts w:ascii="Verdana" w:hAnsi="Verdana"/>
          <w:sz w:val="20"/>
        </w:rPr>
        <w:t>Atentamente,</w:t>
      </w:r>
    </w:p>
    <w:p w:rsidR="000D3237" w:rsidRPr="000D3237" w:rsidRDefault="000D3237" w:rsidP="000D3237">
      <w:pPr>
        <w:rPr>
          <w:rFonts w:ascii="Verdana" w:hAnsi="Verdana"/>
          <w:sz w:val="20"/>
        </w:rPr>
      </w:pPr>
      <w:r w:rsidRPr="000D3237">
        <w:rPr>
          <w:rFonts w:ascii="Verdana" w:hAnsi="Verdana"/>
          <w:sz w:val="20"/>
        </w:rPr>
        <w:t>Ciudad de México, 15 de octubre de 2019.- El Presidente de la Comisión Nacional para la Protección y Defensa de los Usuarios de Servicios Financieros, </w:t>
      </w:r>
      <w:r w:rsidRPr="000D3237">
        <w:rPr>
          <w:rFonts w:ascii="Verdana" w:hAnsi="Verdana"/>
          <w:b/>
          <w:bCs/>
          <w:sz w:val="20"/>
        </w:rPr>
        <w:t>Oscar Rosado Jiménez</w:t>
      </w:r>
      <w:r w:rsidRPr="000D3237">
        <w:rPr>
          <w:rFonts w:ascii="Verdana" w:hAnsi="Verdana"/>
          <w:sz w:val="20"/>
        </w:rPr>
        <w:t>.- Rúbrica.</w:t>
      </w:r>
    </w:p>
    <w:p w:rsidR="00BF3AEB" w:rsidRPr="000D3237" w:rsidRDefault="000D3237">
      <w:pPr>
        <w:rPr>
          <w:rFonts w:ascii="Verdana" w:hAnsi="Verdana"/>
          <w:sz w:val="20"/>
        </w:rPr>
      </w:pPr>
      <w:bookmarkStart w:id="0" w:name="_GoBack"/>
      <w:bookmarkEnd w:id="0"/>
    </w:p>
    <w:sectPr w:rsidR="00BF3AEB" w:rsidRPr="000D3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37"/>
    <w:rsid w:val="000D3237"/>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3509">
      <w:bodyDiv w:val="1"/>
      <w:marLeft w:val="0"/>
      <w:marRight w:val="0"/>
      <w:marTop w:val="0"/>
      <w:marBottom w:val="0"/>
      <w:divBdr>
        <w:top w:val="none" w:sz="0" w:space="0" w:color="auto"/>
        <w:left w:val="none" w:sz="0" w:space="0" w:color="auto"/>
        <w:bottom w:val="none" w:sz="0" w:space="0" w:color="auto"/>
        <w:right w:val="none" w:sz="0" w:space="0" w:color="auto"/>
      </w:divBdr>
      <w:divsChild>
        <w:div w:id="765734222">
          <w:marLeft w:val="0"/>
          <w:marRight w:val="0"/>
          <w:marTop w:val="0"/>
          <w:marBottom w:val="60"/>
          <w:divBdr>
            <w:top w:val="none" w:sz="0" w:space="0" w:color="auto"/>
            <w:left w:val="none" w:sz="0" w:space="0" w:color="auto"/>
            <w:bottom w:val="none" w:sz="0" w:space="0" w:color="auto"/>
            <w:right w:val="none" w:sz="0" w:space="0" w:color="auto"/>
          </w:divBdr>
        </w:div>
        <w:div w:id="693575265">
          <w:marLeft w:val="0"/>
          <w:marRight w:val="0"/>
          <w:marTop w:val="0"/>
          <w:marBottom w:val="60"/>
          <w:divBdr>
            <w:top w:val="none" w:sz="0" w:space="0" w:color="auto"/>
            <w:left w:val="none" w:sz="0" w:space="0" w:color="auto"/>
            <w:bottom w:val="none" w:sz="0" w:space="0" w:color="auto"/>
            <w:right w:val="none" w:sz="0" w:space="0" w:color="auto"/>
          </w:divBdr>
        </w:div>
        <w:div w:id="2074572477">
          <w:marLeft w:val="720"/>
          <w:marRight w:val="0"/>
          <w:marTop w:val="0"/>
          <w:marBottom w:val="60"/>
          <w:divBdr>
            <w:top w:val="none" w:sz="0" w:space="0" w:color="auto"/>
            <w:left w:val="none" w:sz="0" w:space="0" w:color="auto"/>
            <w:bottom w:val="none" w:sz="0" w:space="0" w:color="auto"/>
            <w:right w:val="none" w:sz="0" w:space="0" w:color="auto"/>
          </w:divBdr>
        </w:div>
        <w:div w:id="1564103170">
          <w:marLeft w:val="720"/>
          <w:marRight w:val="0"/>
          <w:marTop w:val="0"/>
          <w:marBottom w:val="60"/>
          <w:divBdr>
            <w:top w:val="none" w:sz="0" w:space="0" w:color="auto"/>
            <w:left w:val="none" w:sz="0" w:space="0" w:color="auto"/>
            <w:bottom w:val="none" w:sz="0" w:space="0" w:color="auto"/>
            <w:right w:val="none" w:sz="0" w:space="0" w:color="auto"/>
          </w:divBdr>
        </w:div>
        <w:div w:id="1163816454">
          <w:marLeft w:val="720"/>
          <w:marRight w:val="0"/>
          <w:marTop w:val="0"/>
          <w:marBottom w:val="101"/>
          <w:divBdr>
            <w:top w:val="none" w:sz="0" w:space="0" w:color="auto"/>
            <w:left w:val="none" w:sz="0" w:space="0" w:color="auto"/>
            <w:bottom w:val="none" w:sz="0" w:space="0" w:color="auto"/>
            <w:right w:val="none" w:sz="0" w:space="0" w:color="auto"/>
          </w:divBdr>
        </w:div>
        <w:div w:id="1935742280">
          <w:marLeft w:val="0"/>
          <w:marRight w:val="0"/>
          <w:marTop w:val="101"/>
          <w:marBottom w:val="101"/>
          <w:divBdr>
            <w:top w:val="none" w:sz="0" w:space="0" w:color="auto"/>
            <w:left w:val="none" w:sz="0" w:space="0" w:color="auto"/>
            <w:bottom w:val="none" w:sz="0" w:space="0" w:color="auto"/>
            <w:right w:val="none" w:sz="0" w:space="0" w:color="auto"/>
          </w:divBdr>
        </w:div>
        <w:div w:id="1884749995">
          <w:marLeft w:val="0"/>
          <w:marRight w:val="0"/>
          <w:marTop w:val="0"/>
          <w:marBottom w:val="101"/>
          <w:divBdr>
            <w:top w:val="none" w:sz="0" w:space="0" w:color="auto"/>
            <w:left w:val="none" w:sz="0" w:space="0" w:color="auto"/>
            <w:bottom w:val="none" w:sz="0" w:space="0" w:color="auto"/>
            <w:right w:val="none" w:sz="0" w:space="0" w:color="auto"/>
          </w:divBdr>
        </w:div>
        <w:div w:id="512964572">
          <w:marLeft w:val="0"/>
          <w:marRight w:val="0"/>
          <w:marTop w:val="20"/>
          <w:marBottom w:val="20"/>
          <w:divBdr>
            <w:top w:val="none" w:sz="0" w:space="0" w:color="auto"/>
            <w:left w:val="none" w:sz="0" w:space="0" w:color="auto"/>
            <w:bottom w:val="none" w:sz="0" w:space="0" w:color="auto"/>
            <w:right w:val="none" w:sz="0" w:space="0" w:color="auto"/>
          </w:divBdr>
        </w:div>
        <w:div w:id="2054768592">
          <w:marLeft w:val="0"/>
          <w:marRight w:val="0"/>
          <w:marTop w:val="20"/>
          <w:marBottom w:val="20"/>
          <w:divBdr>
            <w:top w:val="none" w:sz="0" w:space="0" w:color="auto"/>
            <w:left w:val="none" w:sz="0" w:space="0" w:color="auto"/>
            <w:bottom w:val="none" w:sz="0" w:space="0" w:color="auto"/>
            <w:right w:val="none" w:sz="0" w:space="0" w:color="auto"/>
          </w:divBdr>
        </w:div>
        <w:div w:id="481118623">
          <w:marLeft w:val="0"/>
          <w:marRight w:val="0"/>
          <w:marTop w:val="20"/>
          <w:marBottom w:val="20"/>
          <w:divBdr>
            <w:top w:val="none" w:sz="0" w:space="0" w:color="auto"/>
            <w:left w:val="none" w:sz="0" w:space="0" w:color="auto"/>
            <w:bottom w:val="none" w:sz="0" w:space="0" w:color="auto"/>
            <w:right w:val="none" w:sz="0" w:space="0" w:color="auto"/>
          </w:divBdr>
        </w:div>
        <w:div w:id="1696349467">
          <w:marLeft w:val="0"/>
          <w:marRight w:val="0"/>
          <w:marTop w:val="20"/>
          <w:marBottom w:val="20"/>
          <w:divBdr>
            <w:top w:val="none" w:sz="0" w:space="0" w:color="auto"/>
            <w:left w:val="none" w:sz="0" w:space="0" w:color="auto"/>
            <w:bottom w:val="none" w:sz="0" w:space="0" w:color="auto"/>
            <w:right w:val="none" w:sz="0" w:space="0" w:color="auto"/>
          </w:divBdr>
        </w:div>
        <w:div w:id="1455640433">
          <w:marLeft w:val="0"/>
          <w:marRight w:val="0"/>
          <w:marTop w:val="20"/>
          <w:marBottom w:val="20"/>
          <w:divBdr>
            <w:top w:val="none" w:sz="0" w:space="0" w:color="auto"/>
            <w:left w:val="none" w:sz="0" w:space="0" w:color="auto"/>
            <w:bottom w:val="none" w:sz="0" w:space="0" w:color="auto"/>
            <w:right w:val="none" w:sz="0" w:space="0" w:color="auto"/>
          </w:divBdr>
        </w:div>
        <w:div w:id="1353190365">
          <w:marLeft w:val="0"/>
          <w:marRight w:val="0"/>
          <w:marTop w:val="20"/>
          <w:marBottom w:val="20"/>
          <w:divBdr>
            <w:top w:val="none" w:sz="0" w:space="0" w:color="auto"/>
            <w:left w:val="none" w:sz="0" w:space="0" w:color="auto"/>
            <w:bottom w:val="none" w:sz="0" w:space="0" w:color="auto"/>
            <w:right w:val="none" w:sz="0" w:space="0" w:color="auto"/>
          </w:divBdr>
        </w:div>
        <w:div w:id="430710711">
          <w:marLeft w:val="0"/>
          <w:marRight w:val="0"/>
          <w:marTop w:val="20"/>
          <w:marBottom w:val="20"/>
          <w:divBdr>
            <w:top w:val="none" w:sz="0" w:space="0" w:color="auto"/>
            <w:left w:val="none" w:sz="0" w:space="0" w:color="auto"/>
            <w:bottom w:val="none" w:sz="0" w:space="0" w:color="auto"/>
            <w:right w:val="none" w:sz="0" w:space="0" w:color="auto"/>
          </w:divBdr>
        </w:div>
        <w:div w:id="1136724062">
          <w:marLeft w:val="0"/>
          <w:marRight w:val="0"/>
          <w:marTop w:val="20"/>
          <w:marBottom w:val="20"/>
          <w:divBdr>
            <w:top w:val="none" w:sz="0" w:space="0" w:color="auto"/>
            <w:left w:val="none" w:sz="0" w:space="0" w:color="auto"/>
            <w:bottom w:val="none" w:sz="0" w:space="0" w:color="auto"/>
            <w:right w:val="none" w:sz="0" w:space="0" w:color="auto"/>
          </w:divBdr>
        </w:div>
        <w:div w:id="1969192157">
          <w:marLeft w:val="0"/>
          <w:marRight w:val="0"/>
          <w:marTop w:val="20"/>
          <w:marBottom w:val="20"/>
          <w:divBdr>
            <w:top w:val="none" w:sz="0" w:space="0" w:color="auto"/>
            <w:left w:val="none" w:sz="0" w:space="0" w:color="auto"/>
            <w:bottom w:val="none" w:sz="0" w:space="0" w:color="auto"/>
            <w:right w:val="none" w:sz="0" w:space="0" w:color="auto"/>
          </w:divBdr>
        </w:div>
        <w:div w:id="1361861319">
          <w:marLeft w:val="0"/>
          <w:marRight w:val="0"/>
          <w:marTop w:val="20"/>
          <w:marBottom w:val="20"/>
          <w:divBdr>
            <w:top w:val="none" w:sz="0" w:space="0" w:color="auto"/>
            <w:left w:val="none" w:sz="0" w:space="0" w:color="auto"/>
            <w:bottom w:val="none" w:sz="0" w:space="0" w:color="auto"/>
            <w:right w:val="none" w:sz="0" w:space="0" w:color="auto"/>
          </w:divBdr>
        </w:div>
        <w:div w:id="657391818">
          <w:marLeft w:val="0"/>
          <w:marRight w:val="0"/>
          <w:marTop w:val="20"/>
          <w:marBottom w:val="20"/>
          <w:divBdr>
            <w:top w:val="none" w:sz="0" w:space="0" w:color="auto"/>
            <w:left w:val="none" w:sz="0" w:space="0" w:color="auto"/>
            <w:bottom w:val="none" w:sz="0" w:space="0" w:color="auto"/>
            <w:right w:val="none" w:sz="0" w:space="0" w:color="auto"/>
          </w:divBdr>
        </w:div>
        <w:div w:id="1309478344">
          <w:marLeft w:val="0"/>
          <w:marRight w:val="0"/>
          <w:marTop w:val="20"/>
          <w:marBottom w:val="20"/>
          <w:divBdr>
            <w:top w:val="none" w:sz="0" w:space="0" w:color="auto"/>
            <w:left w:val="none" w:sz="0" w:space="0" w:color="auto"/>
            <w:bottom w:val="none" w:sz="0" w:space="0" w:color="auto"/>
            <w:right w:val="none" w:sz="0" w:space="0" w:color="auto"/>
          </w:divBdr>
        </w:div>
        <w:div w:id="728264346">
          <w:marLeft w:val="0"/>
          <w:marRight w:val="0"/>
          <w:marTop w:val="20"/>
          <w:marBottom w:val="20"/>
          <w:divBdr>
            <w:top w:val="none" w:sz="0" w:space="0" w:color="auto"/>
            <w:left w:val="none" w:sz="0" w:space="0" w:color="auto"/>
            <w:bottom w:val="none" w:sz="0" w:space="0" w:color="auto"/>
            <w:right w:val="none" w:sz="0" w:space="0" w:color="auto"/>
          </w:divBdr>
        </w:div>
        <w:div w:id="1160341746">
          <w:marLeft w:val="0"/>
          <w:marRight w:val="0"/>
          <w:marTop w:val="20"/>
          <w:marBottom w:val="20"/>
          <w:divBdr>
            <w:top w:val="none" w:sz="0" w:space="0" w:color="auto"/>
            <w:left w:val="none" w:sz="0" w:space="0" w:color="auto"/>
            <w:bottom w:val="none" w:sz="0" w:space="0" w:color="auto"/>
            <w:right w:val="none" w:sz="0" w:space="0" w:color="auto"/>
          </w:divBdr>
        </w:div>
        <w:div w:id="613754830">
          <w:marLeft w:val="0"/>
          <w:marRight w:val="0"/>
          <w:marTop w:val="20"/>
          <w:marBottom w:val="20"/>
          <w:divBdr>
            <w:top w:val="none" w:sz="0" w:space="0" w:color="auto"/>
            <w:left w:val="none" w:sz="0" w:space="0" w:color="auto"/>
            <w:bottom w:val="none" w:sz="0" w:space="0" w:color="auto"/>
            <w:right w:val="none" w:sz="0" w:space="0" w:color="auto"/>
          </w:divBdr>
        </w:div>
        <w:div w:id="1194490340">
          <w:marLeft w:val="0"/>
          <w:marRight w:val="0"/>
          <w:marTop w:val="20"/>
          <w:marBottom w:val="20"/>
          <w:divBdr>
            <w:top w:val="none" w:sz="0" w:space="0" w:color="auto"/>
            <w:left w:val="none" w:sz="0" w:space="0" w:color="auto"/>
            <w:bottom w:val="none" w:sz="0" w:space="0" w:color="auto"/>
            <w:right w:val="none" w:sz="0" w:space="0" w:color="auto"/>
          </w:divBdr>
        </w:div>
        <w:div w:id="1235165180">
          <w:marLeft w:val="0"/>
          <w:marRight w:val="0"/>
          <w:marTop w:val="20"/>
          <w:marBottom w:val="20"/>
          <w:divBdr>
            <w:top w:val="none" w:sz="0" w:space="0" w:color="auto"/>
            <w:left w:val="none" w:sz="0" w:space="0" w:color="auto"/>
            <w:bottom w:val="none" w:sz="0" w:space="0" w:color="auto"/>
            <w:right w:val="none" w:sz="0" w:space="0" w:color="auto"/>
          </w:divBdr>
        </w:div>
        <w:div w:id="624308949">
          <w:marLeft w:val="0"/>
          <w:marRight w:val="0"/>
          <w:marTop w:val="20"/>
          <w:marBottom w:val="20"/>
          <w:divBdr>
            <w:top w:val="none" w:sz="0" w:space="0" w:color="auto"/>
            <w:left w:val="none" w:sz="0" w:space="0" w:color="auto"/>
            <w:bottom w:val="none" w:sz="0" w:space="0" w:color="auto"/>
            <w:right w:val="none" w:sz="0" w:space="0" w:color="auto"/>
          </w:divBdr>
        </w:div>
        <w:div w:id="497187339">
          <w:marLeft w:val="0"/>
          <w:marRight w:val="0"/>
          <w:marTop w:val="20"/>
          <w:marBottom w:val="20"/>
          <w:divBdr>
            <w:top w:val="none" w:sz="0" w:space="0" w:color="auto"/>
            <w:left w:val="none" w:sz="0" w:space="0" w:color="auto"/>
            <w:bottom w:val="none" w:sz="0" w:space="0" w:color="auto"/>
            <w:right w:val="none" w:sz="0" w:space="0" w:color="auto"/>
          </w:divBdr>
        </w:div>
        <w:div w:id="510073947">
          <w:marLeft w:val="0"/>
          <w:marRight w:val="0"/>
          <w:marTop w:val="20"/>
          <w:marBottom w:val="20"/>
          <w:divBdr>
            <w:top w:val="none" w:sz="0" w:space="0" w:color="auto"/>
            <w:left w:val="none" w:sz="0" w:space="0" w:color="auto"/>
            <w:bottom w:val="none" w:sz="0" w:space="0" w:color="auto"/>
            <w:right w:val="none" w:sz="0" w:space="0" w:color="auto"/>
          </w:divBdr>
        </w:div>
        <w:div w:id="1648625817">
          <w:marLeft w:val="0"/>
          <w:marRight w:val="0"/>
          <w:marTop w:val="20"/>
          <w:marBottom w:val="20"/>
          <w:divBdr>
            <w:top w:val="none" w:sz="0" w:space="0" w:color="auto"/>
            <w:left w:val="none" w:sz="0" w:space="0" w:color="auto"/>
            <w:bottom w:val="none" w:sz="0" w:space="0" w:color="auto"/>
            <w:right w:val="none" w:sz="0" w:space="0" w:color="auto"/>
          </w:divBdr>
        </w:div>
        <w:div w:id="1869559863">
          <w:marLeft w:val="0"/>
          <w:marRight w:val="0"/>
          <w:marTop w:val="20"/>
          <w:marBottom w:val="20"/>
          <w:divBdr>
            <w:top w:val="none" w:sz="0" w:space="0" w:color="auto"/>
            <w:left w:val="none" w:sz="0" w:space="0" w:color="auto"/>
            <w:bottom w:val="none" w:sz="0" w:space="0" w:color="auto"/>
            <w:right w:val="none" w:sz="0" w:space="0" w:color="auto"/>
          </w:divBdr>
        </w:div>
        <w:div w:id="549731711">
          <w:marLeft w:val="0"/>
          <w:marRight w:val="0"/>
          <w:marTop w:val="20"/>
          <w:marBottom w:val="20"/>
          <w:divBdr>
            <w:top w:val="none" w:sz="0" w:space="0" w:color="auto"/>
            <w:left w:val="none" w:sz="0" w:space="0" w:color="auto"/>
            <w:bottom w:val="none" w:sz="0" w:space="0" w:color="auto"/>
            <w:right w:val="none" w:sz="0" w:space="0" w:color="auto"/>
          </w:divBdr>
        </w:div>
        <w:div w:id="1002657761">
          <w:marLeft w:val="0"/>
          <w:marRight w:val="0"/>
          <w:marTop w:val="20"/>
          <w:marBottom w:val="20"/>
          <w:divBdr>
            <w:top w:val="none" w:sz="0" w:space="0" w:color="auto"/>
            <w:left w:val="none" w:sz="0" w:space="0" w:color="auto"/>
            <w:bottom w:val="none" w:sz="0" w:space="0" w:color="auto"/>
            <w:right w:val="none" w:sz="0" w:space="0" w:color="auto"/>
          </w:divBdr>
        </w:div>
        <w:div w:id="1667437925">
          <w:marLeft w:val="0"/>
          <w:marRight w:val="0"/>
          <w:marTop w:val="20"/>
          <w:marBottom w:val="20"/>
          <w:divBdr>
            <w:top w:val="none" w:sz="0" w:space="0" w:color="auto"/>
            <w:left w:val="none" w:sz="0" w:space="0" w:color="auto"/>
            <w:bottom w:val="none" w:sz="0" w:space="0" w:color="auto"/>
            <w:right w:val="none" w:sz="0" w:space="0" w:color="auto"/>
          </w:divBdr>
        </w:div>
        <w:div w:id="1523014138">
          <w:marLeft w:val="0"/>
          <w:marRight w:val="0"/>
          <w:marTop w:val="20"/>
          <w:marBottom w:val="20"/>
          <w:divBdr>
            <w:top w:val="none" w:sz="0" w:space="0" w:color="auto"/>
            <w:left w:val="none" w:sz="0" w:space="0" w:color="auto"/>
            <w:bottom w:val="none" w:sz="0" w:space="0" w:color="auto"/>
            <w:right w:val="none" w:sz="0" w:space="0" w:color="auto"/>
          </w:divBdr>
        </w:div>
        <w:div w:id="2118482705">
          <w:marLeft w:val="0"/>
          <w:marRight w:val="0"/>
          <w:marTop w:val="20"/>
          <w:marBottom w:val="20"/>
          <w:divBdr>
            <w:top w:val="none" w:sz="0" w:space="0" w:color="auto"/>
            <w:left w:val="none" w:sz="0" w:space="0" w:color="auto"/>
            <w:bottom w:val="none" w:sz="0" w:space="0" w:color="auto"/>
            <w:right w:val="none" w:sz="0" w:space="0" w:color="auto"/>
          </w:divBdr>
        </w:div>
        <w:div w:id="1696807448">
          <w:marLeft w:val="0"/>
          <w:marRight w:val="0"/>
          <w:marTop w:val="20"/>
          <w:marBottom w:val="20"/>
          <w:divBdr>
            <w:top w:val="none" w:sz="0" w:space="0" w:color="auto"/>
            <w:left w:val="none" w:sz="0" w:space="0" w:color="auto"/>
            <w:bottom w:val="none" w:sz="0" w:space="0" w:color="auto"/>
            <w:right w:val="none" w:sz="0" w:space="0" w:color="auto"/>
          </w:divBdr>
        </w:div>
        <w:div w:id="1401948543">
          <w:marLeft w:val="0"/>
          <w:marRight w:val="0"/>
          <w:marTop w:val="20"/>
          <w:marBottom w:val="20"/>
          <w:divBdr>
            <w:top w:val="none" w:sz="0" w:space="0" w:color="auto"/>
            <w:left w:val="none" w:sz="0" w:space="0" w:color="auto"/>
            <w:bottom w:val="none" w:sz="0" w:space="0" w:color="auto"/>
            <w:right w:val="none" w:sz="0" w:space="0" w:color="auto"/>
          </w:divBdr>
        </w:div>
        <w:div w:id="1714386009">
          <w:marLeft w:val="0"/>
          <w:marRight w:val="0"/>
          <w:marTop w:val="20"/>
          <w:marBottom w:val="20"/>
          <w:divBdr>
            <w:top w:val="none" w:sz="0" w:space="0" w:color="auto"/>
            <w:left w:val="none" w:sz="0" w:space="0" w:color="auto"/>
            <w:bottom w:val="none" w:sz="0" w:space="0" w:color="auto"/>
            <w:right w:val="none" w:sz="0" w:space="0" w:color="auto"/>
          </w:divBdr>
        </w:div>
        <w:div w:id="380635861">
          <w:marLeft w:val="0"/>
          <w:marRight w:val="0"/>
          <w:marTop w:val="20"/>
          <w:marBottom w:val="20"/>
          <w:divBdr>
            <w:top w:val="none" w:sz="0" w:space="0" w:color="auto"/>
            <w:left w:val="none" w:sz="0" w:space="0" w:color="auto"/>
            <w:bottom w:val="none" w:sz="0" w:space="0" w:color="auto"/>
            <w:right w:val="none" w:sz="0" w:space="0" w:color="auto"/>
          </w:divBdr>
        </w:div>
        <w:div w:id="1506019918">
          <w:marLeft w:val="0"/>
          <w:marRight w:val="0"/>
          <w:marTop w:val="0"/>
          <w:marBottom w:val="101"/>
          <w:divBdr>
            <w:top w:val="none" w:sz="0" w:space="0" w:color="auto"/>
            <w:left w:val="none" w:sz="0" w:space="0" w:color="auto"/>
            <w:bottom w:val="none" w:sz="0" w:space="0" w:color="auto"/>
            <w:right w:val="none" w:sz="0" w:space="0" w:color="auto"/>
          </w:divBdr>
        </w:div>
        <w:div w:id="1625886230">
          <w:marLeft w:val="0"/>
          <w:marRight w:val="0"/>
          <w:marTop w:val="0"/>
          <w:marBottom w:val="101"/>
          <w:divBdr>
            <w:top w:val="none" w:sz="0" w:space="0" w:color="auto"/>
            <w:left w:val="none" w:sz="0" w:space="0" w:color="auto"/>
            <w:bottom w:val="none" w:sz="0" w:space="0" w:color="auto"/>
            <w:right w:val="none" w:sz="0" w:space="0" w:color="auto"/>
          </w:divBdr>
        </w:div>
        <w:div w:id="2097627981">
          <w:marLeft w:val="0"/>
          <w:marRight w:val="0"/>
          <w:marTop w:val="101"/>
          <w:marBottom w:val="101"/>
          <w:divBdr>
            <w:top w:val="none" w:sz="0" w:space="0" w:color="auto"/>
            <w:left w:val="none" w:sz="0" w:space="0" w:color="auto"/>
            <w:bottom w:val="none" w:sz="0" w:space="0" w:color="auto"/>
            <w:right w:val="none" w:sz="0" w:space="0" w:color="auto"/>
          </w:divBdr>
        </w:div>
        <w:div w:id="165285613">
          <w:marLeft w:val="0"/>
          <w:marRight w:val="0"/>
          <w:marTop w:val="0"/>
          <w:marBottom w:val="101"/>
          <w:divBdr>
            <w:top w:val="none" w:sz="0" w:space="0" w:color="auto"/>
            <w:left w:val="none" w:sz="0" w:space="0" w:color="auto"/>
            <w:bottom w:val="none" w:sz="0" w:space="0" w:color="auto"/>
            <w:right w:val="none" w:sz="0" w:space="0" w:color="auto"/>
          </w:divBdr>
        </w:div>
        <w:div w:id="360087319">
          <w:marLeft w:val="0"/>
          <w:marRight w:val="0"/>
          <w:marTop w:val="0"/>
          <w:marBottom w:val="101"/>
          <w:divBdr>
            <w:top w:val="none" w:sz="0" w:space="0" w:color="auto"/>
            <w:left w:val="none" w:sz="0" w:space="0" w:color="auto"/>
            <w:bottom w:val="none" w:sz="0" w:space="0" w:color="auto"/>
            <w:right w:val="none" w:sz="0" w:space="0" w:color="auto"/>
          </w:divBdr>
        </w:div>
        <w:div w:id="1120566231">
          <w:marLeft w:val="0"/>
          <w:marRight w:val="0"/>
          <w:marTop w:val="0"/>
          <w:marBottom w:val="101"/>
          <w:divBdr>
            <w:top w:val="none" w:sz="0" w:space="0" w:color="auto"/>
            <w:left w:val="none" w:sz="0" w:space="0" w:color="auto"/>
            <w:bottom w:val="none" w:sz="0" w:space="0" w:color="auto"/>
            <w:right w:val="none" w:sz="0" w:space="0" w:color="auto"/>
          </w:divBdr>
        </w:div>
      </w:divsChild>
    </w:div>
    <w:div w:id="703752071">
      <w:bodyDiv w:val="1"/>
      <w:marLeft w:val="0"/>
      <w:marRight w:val="0"/>
      <w:marTop w:val="0"/>
      <w:marBottom w:val="0"/>
      <w:divBdr>
        <w:top w:val="none" w:sz="0" w:space="0" w:color="auto"/>
        <w:left w:val="none" w:sz="0" w:space="0" w:color="auto"/>
        <w:bottom w:val="none" w:sz="0" w:space="0" w:color="auto"/>
        <w:right w:val="none" w:sz="0" w:space="0" w:color="auto"/>
      </w:divBdr>
    </w:div>
    <w:div w:id="75124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2019-10-28T14:16:00Z</dcterms:created>
  <dcterms:modified xsi:type="dcterms:W3CDTF">2019-10-28T14:18:00Z</dcterms:modified>
</cp:coreProperties>
</file>