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mediante el cual se modifican y adicionan los diversos ACT-EXT-PUB/20/03/2020.02, ACT-EXT-PUB/20/03/2020.04, ACT-PUB/15/04/2020.02, ACT-PUB/30/04/2020.02, incluyendo los acuerdos ACT-PUB/27/05/2020.04, ACT-PUB/10/06/2020.04 y ACT-PUB/30/06/2020.05, en el sentido de ampliar sus efectos al 31 de julio del año en curso inclusive</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22 de julio de 2020)</w:t>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Instituto Nacional de Transparencia, Acceso a la Información y Protección de Datos Personales.</w:t>
      </w:r>
    </w:p>
    <w:p w:rsidR="00000000" w:rsidDel="00000000" w:rsidP="00000000" w:rsidRDefault="00000000" w:rsidRPr="00000000" w14:paraId="00000006">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ACT-PUB/14/07/2020.06</w:t>
      </w:r>
    </w:p>
    <w:p w:rsidR="00000000" w:rsidDel="00000000" w:rsidP="00000000" w:rsidRDefault="00000000" w:rsidRPr="00000000" w14:paraId="0000000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MEDIANTE EL CUAL SE MODIFICAN Y ADICIONAN LOS DIVERSOS ACT-EXT-PUB/20/03/2020.02, ACT-EXT-PUB/20/03/2020.04, ACT-PUB/15/04/2020.02, ACT-PUB/30/04/2020.02, INCLUYENDO LOS ACUERDOS ACT-PUB/27/05/2020.04, ACT-PUB/10/06/2020.04 Y ACT-PUB/30/06/2020.05, EN EL SENTIDO DE AMPLIAR SUS EFECTOS AL 31 DE JULIO DEL AÑO EN CURSO INCLUSIVE.</w:t>
      </w:r>
    </w:p>
    <w:p w:rsidR="00000000" w:rsidDel="00000000" w:rsidP="00000000" w:rsidRDefault="00000000" w:rsidRPr="00000000" w14:paraId="0000000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en los artículos 6º, apartado A, fracción VIII, 73, fracción XVI, Bases 1ª, 2ª, 3ª, de la Constitución Política de los Estados Unidos Mexicanos; 1, 7, 21, fracciones II, III, IV y XX, 29, fracción I y 31, fracción XII de la Ley Federal de Transparencia y Acceso a la Información Pública; 3, fracción XI y 38 de la Ley Federal de Protección de Datos Personales en Posesión de los Particulares; 1, párrafos segundo y tercero, 3, fracción XVIII y 88 de la Ley General de Protección de Datos Personales en Posesión de Sujetos Obligados; 6, 8, 12, fracciones I, XXXIV, XXXV, XXXVI y XXXVII, 16, fracción VI, y 18, fracciones XII, XIV, XVI y XXVI del Estatuto Orgánico del Instituto Nacional de Transparencia, Acceso a la Información y Protección de Datos Personales; en relación con el artículo 28, párrafo segundo de la Ley Federal de Procedimiento Administrativo, y conforme a las siguientes:</w:t>
      </w:r>
    </w:p>
    <w:p w:rsidR="00000000" w:rsidDel="00000000" w:rsidP="00000000" w:rsidRDefault="00000000" w:rsidRPr="00000000" w14:paraId="00000009">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CONSIDERACIONES</w:t>
      </w:r>
    </w:p>
    <w:p w:rsidR="00000000" w:rsidDel="00000000" w:rsidP="00000000" w:rsidRDefault="00000000" w:rsidRPr="00000000" w14:paraId="0000000A">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Que el 20 de marzo del año en curso el Pleno de este Instituto, mediante Acuerdos ACT-EXT-PUB/20/03/2020.02 y ACT-EXT-PUB/20/03/2020.04, aprobó diversas medidas para garantizar los derechos de protección de datos personales y acceso a la información, ante la situación de contingencia generada por el denominado virus COVID-19 así como las medidas administrativas, preventivas y de actuación, para las personas servidoras públicas del instituto en relación con el referido virus.</w:t>
      </w:r>
    </w:p>
    <w:p w:rsidR="00000000" w:rsidDel="00000000" w:rsidP="00000000" w:rsidRDefault="00000000" w:rsidRPr="00000000" w14:paraId="0000000B">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Que el Consejo General de Salubridad y la Secretaría Salud han emitido diversos Acuerdos con la finalidad de dictar medidas extraordinarias para atender la emergencia sanitaria por causa de fuerza mayor generada por el mencionado virus SARS-CoV2 (COVID-19).</w:t>
      </w:r>
    </w:p>
    <w:p w:rsidR="00000000" w:rsidDel="00000000" w:rsidP="00000000" w:rsidRDefault="00000000" w:rsidRPr="00000000" w14:paraId="0000000C">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Que para garantizar los derechos humanos de acceso a la información pública y de protección de los datos personales ante la emergencia sanitaria generada por el COVID-19, el Pleno de este Instituto emitió el ACT-PUB/30/04/2020.02, en el que determinó dejar sin efectos la suspensión de plazos y términos determinada por el mismo y reanudar los mismos en los procedimientos en materia de acceso a la información y protección de datos personales previstos en las Leyes y normativa aplicable, que rigen tanto a este Instituto como de los sujetos obligados que se encuentran en los supuestos mencionados en el Considerando X del referido Acuerdo y que se precisan en su anexo, esto es, a los que </w:t>
      </w:r>
      <w:r w:rsidDel="00000000" w:rsidR="00000000" w:rsidRPr="00000000">
        <w:rPr>
          <w:rFonts w:ascii="Verdana" w:cs="Verdana" w:eastAsia="Verdana" w:hAnsi="Verdana"/>
          <w:b w:val="1"/>
          <w:color w:val="2f2f2f"/>
          <w:sz w:val="20"/>
          <w:szCs w:val="20"/>
          <w:rtl w:val="0"/>
        </w:rPr>
        <w:t xml:space="preserve">realizan actividades esenciales en términos de los acuerdos supra indicados</w:t>
      </w:r>
      <w:r w:rsidDel="00000000" w:rsidR="00000000" w:rsidRPr="00000000">
        <w:rPr>
          <w:rFonts w:ascii="Verdana" w:cs="Verdana" w:eastAsia="Verdana" w:hAnsi="Verdana"/>
          <w:color w:val="2f2f2f"/>
          <w:sz w:val="20"/>
          <w:szCs w:val="20"/>
          <w:rtl w:val="0"/>
        </w:rPr>
        <w:t xml:space="preserve">, emitidos por la Secretaría de Salud; así como, en los procedimientos que se les instruyen en este Organismo Garante Nacional.</w:t>
      </w:r>
    </w:p>
    <w:p w:rsidR="00000000" w:rsidDel="00000000" w:rsidP="00000000" w:rsidRDefault="00000000" w:rsidRPr="00000000" w14:paraId="0000000D">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Que el 14 de mayo de 2020, se publicó en el Diario Oficial de la Federación,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establecer acciones extraordinarias; emitido por la Secretaría de Salud.</w:t>
      </w:r>
    </w:p>
    <w:p w:rsidR="00000000" w:rsidDel="00000000" w:rsidP="00000000" w:rsidRDefault="00000000" w:rsidRPr="00000000" w14:paraId="0000000E">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El 20 de mayo del año en curso, la Jefa de Gobierno de la Ciudad de México, dio a conocer el Plan Gradual hacia la Nueva Normalidad, en el que se contempla que dicha entidad se encuentra en semáforo rojo, colorimetría que representa una ocupación hospitalaria mayor al 65% o dos semanas de incremento estable.</w:t>
      </w:r>
    </w:p>
    <w:p w:rsidR="00000000" w:rsidDel="00000000" w:rsidP="00000000" w:rsidRDefault="00000000" w:rsidRPr="00000000" w14:paraId="0000000F">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Que el 27 de mayo de este año, el Pleno de este Instituto emitió el Acuerdo mediante el cual se modifican y adicionan los diversos ACT-EXT-PUB/20/03/2020.02, ACT-EXT-PUB/20/03/2020.04, ACT-PUB/15/04/2020.02, ACT-PUB/30/04/2020.02, en el sentido de ampliar sus efectos al 15 de junio del año en curso inclusive.</w:t>
      </w:r>
    </w:p>
    <w:p w:rsidR="00000000" w:rsidDel="00000000" w:rsidP="00000000" w:rsidRDefault="00000000" w:rsidRPr="00000000" w14:paraId="00000010">
      <w:pPr>
        <w:shd w:fill="ffffff" w:val="clear"/>
        <w:spacing w:after="100" w:lineRule="auto"/>
        <w:ind w:left="1440" w:hanging="580"/>
        <w:jc w:val="both"/>
        <w:rPr>
          <w:rFonts w:ascii="Verdana" w:cs="Verdana" w:eastAsia="Verdana" w:hAnsi="Verdana"/>
          <w:i w:val="1"/>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Que el 29 de mayo de 2020, se publicó en el Diario oficial de la Federación, el </w:t>
      </w:r>
      <w:r w:rsidDel="00000000" w:rsidR="00000000" w:rsidRPr="00000000">
        <w:rPr>
          <w:rFonts w:ascii="Verdana" w:cs="Verdana" w:eastAsia="Verdana" w:hAnsi="Verdana"/>
          <w:i w:val="1"/>
          <w:color w:val="2f2f2f"/>
          <w:sz w:val="20"/>
          <w:szCs w:val="20"/>
          <w:rtl w:val="0"/>
        </w:rPr>
        <w:t xml:space="preserve">ACUERDO por el</w:t>
      </w:r>
    </w:p>
    <w:p w:rsidR="00000000" w:rsidDel="00000000" w:rsidP="00000000" w:rsidRDefault="00000000" w:rsidRPr="00000000" w14:paraId="00000011">
      <w:pPr>
        <w:shd w:fill="ffffff" w:val="clear"/>
        <w:spacing w:after="100" w:lineRule="auto"/>
        <w:ind w:left="860" w:firstLine="0"/>
        <w:jc w:val="both"/>
        <w:rPr>
          <w:rFonts w:ascii="Verdana" w:cs="Verdana" w:eastAsia="Verdana" w:hAnsi="Verdana"/>
          <w:color w:val="2f2f2f"/>
          <w:sz w:val="20"/>
          <w:szCs w:val="20"/>
        </w:rPr>
      </w:pPr>
      <w:r w:rsidDel="00000000" w:rsidR="00000000" w:rsidRPr="00000000">
        <w:rPr>
          <w:rFonts w:ascii="Verdana" w:cs="Verdana" w:eastAsia="Verdana" w:hAnsi="Verdana"/>
          <w:i w:val="1"/>
          <w:color w:val="2f2f2f"/>
          <w:sz w:val="20"/>
          <w:szCs w:val="20"/>
          <w:rtl w:val="0"/>
        </w:rPr>
        <w:t xml:space="preserve">que se establecen los Lineamientos Técnicos Específicos para la Reapertura de las Actividades Económicas</w:t>
      </w:r>
      <w:r w:rsidDel="00000000" w:rsidR="00000000" w:rsidRPr="00000000">
        <w:rPr>
          <w:rFonts w:ascii="Verdana" w:cs="Verdana" w:eastAsia="Verdana" w:hAnsi="Verdana"/>
          <w:color w:val="2f2f2f"/>
          <w:sz w:val="20"/>
          <w:szCs w:val="20"/>
          <w:rtl w:val="0"/>
        </w:rPr>
        <w:t xml:space="preserve">, en el que se establece que el Sistema de Alerta Sanitaria consiste en un semáforo de aplicación regional que permite comunicar la magnitud de la transmisión de SARS-CoV2, la demanda de servicios de salud asociada a esta transmisión y el riesgo de contagios, relacionado con la continuidad o reapertura de actividades en cada región; el semáforo se actualizará semanalmente y consta de cuatro niveles de alerta: rojo para alerta máxima, naranja para alerta alta, amarillo para alerta intermedia y verde para alerta cotidiana.</w:t>
      </w:r>
    </w:p>
    <w:p w:rsidR="00000000" w:rsidDel="00000000" w:rsidP="00000000" w:rsidRDefault="00000000" w:rsidRPr="00000000" w14:paraId="00000012">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Que al 29 de mayo del año en curso también se publicó el </w:t>
      </w:r>
      <w:r w:rsidDel="00000000" w:rsidR="00000000" w:rsidRPr="00000000">
        <w:rPr>
          <w:rFonts w:ascii="Verdana" w:cs="Verdana" w:eastAsia="Verdana" w:hAnsi="Verdana"/>
          <w:i w:val="1"/>
          <w:color w:val="2f2f2f"/>
          <w:sz w:val="20"/>
          <w:szCs w:val="20"/>
          <w:rtl w:val="0"/>
        </w:rPr>
        <w:t xml:space="preserve">"SEXTO ACUERDO POR EL QUE SE ESTABLECEN LOS LINEAMIENTOS PARA LA EJECUCIÓN DEL PLAN GRADUAL HACIA LA NUEVA NORMALIDAD EN LA CIUDAD DE MÉXICO Y SE CREA EL COMITÉ DE MONITOREO" </w:t>
      </w:r>
      <w:r w:rsidDel="00000000" w:rsidR="00000000" w:rsidRPr="00000000">
        <w:rPr>
          <w:rFonts w:ascii="Verdana" w:cs="Verdana" w:eastAsia="Verdana" w:hAnsi="Verdana"/>
          <w:color w:val="2f2f2f"/>
          <w:sz w:val="20"/>
          <w:szCs w:val="20"/>
          <w:rtl w:val="0"/>
        </w:rPr>
        <w:t xml:space="preserve">el que dispone en su punto de acuerdo QUINTO que el color del Semáforo se dará a conocer públicamente en la Gaceta Oficial de la Ciudad de México cada viernes, para su entrada en vigor el lunes inmediato posterior.</w:t>
      </w:r>
    </w:p>
    <w:p w:rsidR="00000000" w:rsidDel="00000000" w:rsidP="00000000" w:rsidRDefault="00000000" w:rsidRPr="00000000" w14:paraId="00000013">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Que el 10 de junio del año en curso, el Pleno de este Instituto emitió el acuerdo mediante el cual se modifican y adicionan los diversos ACT-EXT-PUB/20/03/2020.02, ACT-EXT-PUB/20/03/2020.04, ACTPUB/15/04/2020.02, ACT-PUB/30/04/2020.02 Y ACT-PUB/27/05/2020.04 en el sentido de ampliar sus efectos al 30 de junio del año en curso inclusive.</w:t>
      </w:r>
    </w:p>
    <w:p w:rsidR="00000000" w:rsidDel="00000000" w:rsidP="00000000" w:rsidRDefault="00000000" w:rsidRPr="00000000" w14:paraId="00000014">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Que el 19 de junio de año en curso, se publicó en la Gaceta Oficial de la Ciudad de México el tercer aviso por el que se da conocer el color del semáforo epidemiológico de la Ciudad de México, en el que se estableció que el Comité de Monitoreo de la Ciudad de México, con base en los indicadores de las autoridades sanitarias de los ámbitos federal y local, así como de los datos epidemiológicos con los que cuenta, principalmente por la ocupación hospitalaria de casos sospechosos o confirmados de COVID-19 en la Ciudad de México, determinó que en el período comprendido del 22 al 28 de junio del presente año, el color del Semáforo permanece en ROJO hacia una incorporación gradual y ordenada al color NARANJA.</w:t>
      </w:r>
    </w:p>
    <w:p w:rsidR="00000000" w:rsidDel="00000000" w:rsidP="00000000" w:rsidRDefault="00000000" w:rsidRPr="00000000" w14:paraId="00000015">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w:t>
      </w:r>
      <w:r w:rsidDel="00000000" w:rsidR="00000000" w:rsidRPr="00000000">
        <w:rPr>
          <w:rFonts w:ascii="Verdana" w:cs="Verdana" w:eastAsia="Verdana" w:hAnsi="Verdana"/>
          <w:color w:val="2f2f2f"/>
          <w:sz w:val="20"/>
          <w:szCs w:val="20"/>
          <w:rtl w:val="0"/>
        </w:rPr>
        <w:t xml:space="preserve">      Que el 26 de junio del año en curso se publicó en la Gaceta Oficial de la Ciudad de México el cuarto aviso por el que se da conocer el color del semáforo epidemiológico de la Ciudad de México, en el que se estableció que el Comité de Monitoreo de la Ciudad de México, con base en los indicadores de las autoridades sanitarias de los ámbitos federal y local, así como de los datos epidemiológicos con los que cuenta, principalmente por la ocupación hospitalaria de casos sospechosos o confirmados de COVID-19 en la Ciudad de México, determinó que en el periodo comprendido del 29 de junio al 05 de julio del presente año, el color del Semáforo Epidemiológico de la Ciudad de México será NARANJA.</w:t>
      </w:r>
    </w:p>
    <w:p w:rsidR="00000000" w:rsidDel="00000000" w:rsidP="00000000" w:rsidRDefault="00000000" w:rsidRPr="00000000" w14:paraId="00000016">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w:t>
      </w:r>
      <w:r w:rsidDel="00000000" w:rsidR="00000000" w:rsidRPr="00000000">
        <w:rPr>
          <w:rFonts w:ascii="Verdana" w:cs="Verdana" w:eastAsia="Verdana" w:hAnsi="Verdana"/>
          <w:color w:val="2f2f2f"/>
          <w:sz w:val="20"/>
          <w:szCs w:val="20"/>
          <w:rtl w:val="0"/>
        </w:rPr>
        <w:t xml:space="preserve">     Que el 30 de junio de la presente anualidad, el Pleno de este Instituto, aprobó el acuerdo mediante el cual se modifican y adicionan los diversos ACT-EXT-PUB/20/03/2020.02, ACT-EXT-PUB/20/03/2020.04, ACT-PUB/15/04/2020.02, ACT-PUB/30/04/2020.02, ACT-PUB/27/05/2020.04 Y ACT-PUB/10/06/2020.04 en el sentido de ampliar sus efectos al 15 de julio del año en curso inclusive.</w:t>
      </w:r>
    </w:p>
    <w:p w:rsidR="00000000" w:rsidDel="00000000" w:rsidP="00000000" w:rsidRDefault="00000000" w:rsidRPr="00000000" w14:paraId="00000017">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XIII.</w:t>
      </w:r>
      <w:r w:rsidDel="00000000" w:rsidR="00000000" w:rsidRPr="00000000">
        <w:rPr>
          <w:rFonts w:ascii="Verdana" w:cs="Verdana" w:eastAsia="Verdana" w:hAnsi="Verdana"/>
          <w:color w:val="2f2f2f"/>
          <w:sz w:val="20"/>
          <w:szCs w:val="20"/>
          <w:rtl w:val="0"/>
        </w:rPr>
        <w:t xml:space="preserve">    Que el 03 de julio de este año, se publicó en la Gaceta Oficial de la Ciudad de México, el quinto aviso por el que se da a conocer el color del semáforo epidemiológico de la Ciudad de México, en el que dio a conocer que el Comité de Monitoreo de la Ciudad de México, con base en los indicadores de las autoridades sanitarias de los ámbitos federal y local, así como los datos epidemiológicos con los que cuenta, principalmente por la ocupación hospitalaria de casos sospechosos o confirmados de COVID-19 en la Ciudad de México determinó, entre otras cosas, que en el período comprendido del 06 de julio al 12 de julio del presente año el color del Semáforo Epidemiológico de la Ciudad de México permanece en NARANJA.</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expuesto, en las consideraciones de hecho y de Derecho, el Pleno del Instituto Nacional de Transparencia, Acceso a la Información y Protección de Datos Personales, emite el siguiente:</w:t>
      </w:r>
    </w:p>
    <w:p w:rsidR="00000000" w:rsidDel="00000000" w:rsidP="00000000" w:rsidRDefault="00000000" w:rsidRPr="00000000" w14:paraId="0000001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aprueban las modificaciones y adiciones a los diversos ACT-EXT-PUB/20/03/2020.02, ACT-EXT-PUB/20/03/2020.04, ACT-PUB/15/04/2020.02, ACT-PUB/30/04/2020.02, incluyendo los acuerdos ACT-PUB/27/05/2020.04, ACT-PUB/10/06/2020.04 y ACT-PUB/30/06/2020.05, en el sentido de ampliar sus efectos al 31 de julio del año en curso inclusive.</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exhorta a los sujetos obligados que, atendiendo al interés público, transparenten de manera proactiva sus acciones durante la emergencia sanitaria en particular las que estén relacionadas con la pandemia del virus SARS-CoV2 (COVID-19).</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Lo dispuesto en el punto de acuerdo </w:t>
      </w: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del Acuerdo ACT-PUB/30/04/2020.02 continuará surtiendo sus efectos en los términos ahí precisados, siendo aplicable para la totalidad de los medios de presentación de los recursos de revisión.</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El Instituto continuará desarrollando sus funciones esenciales, privilegiando que las actividades se realicen con el personal mínimo e indispensable, mediante la implementación de guardias presenciales en casos que por su naturaleza lo requieran y a través de la realización del trabajo desde sus hogares, reiterando la entrega de reportes quincenales a los titulares de las áreas a las que están adscritos; en los demás casos, con apoyo de las herramientas tecnológicas y de comunicaciones.</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deben exceptuar de las guardias presenciales a quienes conforme a la medida V del Acuerdo por el que se modifica el similar por el que se establecen acciones extraordinarias para atender la emergencia sanitaria generada por el virus SARS-CoV2, publicado el 31 de marzo de 2020, en el Diario Oficial de la Federación, deben de cumplir con el resguardo domiciliario de manera estricta como a toda persona mayor de 60 años de edad, estado de embarazo o puerperio inmediato, o con diagnóstico de hipertensión arterial, diabetes mellitus, enfermedad cardíaca o pulmonar crónicas, inmunosupresión (adquirida o provocada), insuficiencia renal o hepática, </w:t>
      </w:r>
      <w:r w:rsidDel="00000000" w:rsidR="00000000" w:rsidRPr="00000000">
        <w:rPr>
          <w:rFonts w:ascii="Verdana" w:cs="Verdana" w:eastAsia="Verdana" w:hAnsi="Verdana"/>
          <w:b w:val="1"/>
          <w:color w:val="2f2f2f"/>
          <w:sz w:val="20"/>
          <w:szCs w:val="20"/>
          <w:rtl w:val="0"/>
        </w:rPr>
        <w:t xml:space="preserve">independientemente de si su actividad laboral se considera esencial</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Se instruye a la Dirección General de Asuntos Jurídicos para que realice las gestiones necesarias a efecto de que el presente Acuerdo se publique en el Diario Oficial de la Federación.</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Se instruye a la Secretaría Técnica del Pleno para que, por conducto de la Dirección General de Atención al Pleno, realice las gestiones necesarias a efecto de que el presente Acuerdo se publique en el portal de internet del Instituto.</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Se instruye a la Dirección General de Comunicación Social que realice las acciones necesarias para que se difunda por los medios que estime pertinentes el presente Acuerdo.</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 </w:t>
      </w:r>
      <w:r w:rsidDel="00000000" w:rsidR="00000000" w:rsidRPr="00000000">
        <w:rPr>
          <w:rFonts w:ascii="Verdana" w:cs="Verdana" w:eastAsia="Verdana" w:hAnsi="Verdana"/>
          <w:color w:val="2f2f2f"/>
          <w:sz w:val="20"/>
          <w:szCs w:val="20"/>
          <w:rtl w:val="0"/>
        </w:rPr>
        <w:t xml:space="preserve">El presente Acuerdo es una adenda a los diversos Acuerdos mediante los cuales se aprobaron diversas medidas para garantizar los derechos de protección de datos personales y acceso a la información, ante la situación de contingencia generada por el denominado virus COVID-19, así como las medidas administrativas, preventivas y de actuación, para las personas servidoras públicas de este Instituto en relación con el referido virus, identificados con las claves ACT-EXT-PUB/20/03/2020.02,] ACT-EXT-PUB/20/03/2020.04, ACT-PUB/15/04/2020.02, ACT-PUB/30/04/2020.02, incluyendo los acuerdos de ampliación ACT-PUB/27/05/2020.04, ACT-PUB/10/06/2020.04 y ACT-PUB/30/06/2020.05.</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OCTAVO. </w:t>
      </w:r>
      <w:r w:rsidDel="00000000" w:rsidR="00000000" w:rsidRPr="00000000">
        <w:rPr>
          <w:rFonts w:ascii="Verdana" w:cs="Verdana" w:eastAsia="Verdana" w:hAnsi="Verdana"/>
          <w:color w:val="2f2f2f"/>
          <w:sz w:val="20"/>
          <w:szCs w:val="20"/>
          <w:rtl w:val="0"/>
        </w:rPr>
        <w:t xml:space="preserve">Se instruye a la Secretaría Ejecutiva y a la Secretaría de Acceso a la Información para que, por conducto de la Dirección General de Tecnologías de la Información y de las Direcciones Generales de Enlace con sujetos obligados, respectivamente, realicen los ajustes a los plazos y aquellos que sean necesarios en los diversos sistemas informáticos con que cuenta este Instituto con motivo de los alcances del presente Acuerdo, entre los que destacan de manera enunciativa mas no limitativa: el Sistema electrónico INFOMEX-Gobierno Federal y el sistema IFAI-PRODATOS, así como en la Plataforma Nacional de Transparencia, para hacer del conocimiento del público en general y en forma accesible, el contenido del presente Acuerdo.</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NOVENO. </w:t>
      </w:r>
      <w:r w:rsidDel="00000000" w:rsidR="00000000" w:rsidRPr="00000000">
        <w:rPr>
          <w:rFonts w:ascii="Verdana" w:cs="Verdana" w:eastAsia="Verdana" w:hAnsi="Verdana"/>
          <w:color w:val="2f2f2f"/>
          <w:sz w:val="20"/>
          <w:szCs w:val="20"/>
          <w:rtl w:val="0"/>
        </w:rPr>
        <w:t xml:space="preserve">Se instruye a la Secretaría Ejecutiva, para que por conducto de la Dirección General de Promoción y Vinculación con la Sociedad realice las acciones necesarias a efecto de que, a través del vínculo electrónico del Centro de Atención a la Sociedad (CAS) y el sistema TELlNAI, se hagan de conocimiento al público en general y en forma accesible, el contenido del presente Acuerdo.</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w:t>
      </w:r>
      <w:r w:rsidDel="00000000" w:rsidR="00000000" w:rsidRPr="00000000">
        <w:rPr>
          <w:rFonts w:ascii="Verdana" w:cs="Verdana" w:eastAsia="Verdana" w:hAnsi="Verdana"/>
          <w:color w:val="2f2f2f"/>
          <w:sz w:val="20"/>
          <w:szCs w:val="20"/>
          <w:rtl w:val="0"/>
        </w:rPr>
        <w:t xml:space="preserve">Se instruye a la Secretaría de Acceso a la Información para que realice las acciones necesarias a efecto de notificar el presente Acuerdo, a través de las Direcciones Generales de Enlace, a los sujetos obligados que corresponda.</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PRIMERO. </w:t>
      </w:r>
      <w:r w:rsidDel="00000000" w:rsidR="00000000" w:rsidRPr="00000000">
        <w:rPr>
          <w:rFonts w:ascii="Verdana" w:cs="Verdana" w:eastAsia="Verdana" w:hAnsi="Verdana"/>
          <w:color w:val="2f2f2f"/>
          <w:sz w:val="20"/>
          <w:szCs w:val="20"/>
          <w:rtl w:val="0"/>
        </w:rPr>
        <w:t xml:space="preserve">Se instruye a Secretaria Ejecutiva del Sistema Nacional de Transparencia instrumente las acciones que resulten necesarias para notificar a los Organismos Garantes de Información de las Entidades Federativas el contenido del presente Acuerdo.</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SEGUNDO. </w:t>
      </w:r>
      <w:r w:rsidDel="00000000" w:rsidR="00000000" w:rsidRPr="00000000">
        <w:rPr>
          <w:rFonts w:ascii="Verdana" w:cs="Verdana" w:eastAsia="Verdana" w:hAnsi="Verdana"/>
          <w:color w:val="2f2f2f"/>
          <w:sz w:val="20"/>
          <w:szCs w:val="20"/>
          <w:rtl w:val="0"/>
        </w:rPr>
        <w:t xml:space="preserve">El turno de los recursos de revisión interpuestos se efectuará de conformidad con lo previsto en el Acuerdo ACT-PUB/29/01/2020.06 ACUERDO MEDIANTE EL CUAL SE APRUEBA EL PROCEDIMIENTO DE TURNO TEMPORAL DE LOS MEDIOS DE IMPUGNACIÓN COMPETENCIA DEL INSTITUTO, ESTABLECIDOS EN LA LEY GENERAL DE PROTECCIÓN DE DATOS PERSONALES EN POSESIÓN DE SUJETOS OBLIGADOS, LEY GENERAL DE TRANSPARENCIA Y ACCESO A LA INFORMACIÓN PÚBLICA, EN LA LEY FEDERAL DE TRANSPARENCIA Y ACCESO A LA INFORMACIÓN PÚBLICA Y EN LA LEY FEDERAL DE TRANSPARENCIA Y ACCESO A LA INFORMACIÓN PÚBLICA GUBERNAMENTAL.</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que hace a los Sujetos Obligados que no se ubiquen en el supuesto del Considerando X del Acuerdo ACT-PUB/30/04/2020.02 y que no se precisan en el anexo del mismo, el procedimiento de turno de los recursos de revisión surtirá sus efectos en forma simultánea a la reanudación de plazos.</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TERCERO. </w:t>
      </w:r>
      <w:r w:rsidDel="00000000" w:rsidR="00000000" w:rsidRPr="00000000">
        <w:rPr>
          <w:rFonts w:ascii="Verdana" w:cs="Verdana" w:eastAsia="Verdana" w:hAnsi="Verdana"/>
          <w:color w:val="2f2f2f"/>
          <w:sz w:val="20"/>
          <w:szCs w:val="20"/>
          <w:rtl w:val="0"/>
        </w:rPr>
        <w:t xml:space="preserve">Se instruye al Secretario Técnico del Pleno que, con fundamento en lo dispuesto en el artículo 45, fracción IV, de la Ley Federal de Transparencia y Acceso a la Información Pública, expida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certificación del presente Acuerdo, para agilizar su cumplimiento.</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CUARTO. </w:t>
      </w:r>
      <w:r w:rsidDel="00000000" w:rsidR="00000000" w:rsidRPr="00000000">
        <w:rPr>
          <w:rFonts w:ascii="Verdana" w:cs="Verdana" w:eastAsia="Verdana" w:hAnsi="Verdana"/>
          <w:color w:val="2f2f2f"/>
          <w:sz w:val="20"/>
          <w:szCs w:val="20"/>
          <w:rtl w:val="0"/>
        </w:rPr>
        <w:t xml:space="preserve">El presente Acuerdo entrará en vigor al momento de su aprobación por el Pleno del Instituto Nacional de Transparencia, Acceso a la Información y Protección de Datos Personales.</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Así lo acordaron, por unanimidad de las Comisionadas y de los Comisionados del Pleno del Instituto Nacional de Transparencia, Acceso a la Información y Protección de Datos Personales, Oscar Mauricio Guerra Ford, Blanca Lilia Ibarra Cadena, Rosendoevgueni Monterrey Chepov, Josefina Román Vergara y Francisco Javier Acuña Llamas, en sesión celebrada el catorce de julio de dos mil veinte, ante Hugo Alejandro Córdova Díaz, Secretario Técnico del Pleno.</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Comisionado Presidente, </w:t>
      </w:r>
      <w:r w:rsidDel="00000000" w:rsidR="00000000" w:rsidRPr="00000000">
        <w:rPr>
          <w:rFonts w:ascii="Verdana" w:cs="Verdana" w:eastAsia="Verdana" w:hAnsi="Verdana"/>
          <w:b w:val="1"/>
          <w:color w:val="2f2f2f"/>
          <w:sz w:val="20"/>
          <w:szCs w:val="20"/>
          <w:rtl w:val="0"/>
        </w:rPr>
        <w:t xml:space="preserve">Francisco Javier Acuña Llamas</w:t>
      </w:r>
      <w:r w:rsidDel="00000000" w:rsidR="00000000" w:rsidRPr="00000000">
        <w:rPr>
          <w:rFonts w:ascii="Verdana" w:cs="Verdana" w:eastAsia="Verdana" w:hAnsi="Verdana"/>
          <w:color w:val="2f2f2f"/>
          <w:sz w:val="20"/>
          <w:szCs w:val="20"/>
          <w:rtl w:val="0"/>
        </w:rPr>
        <w:t xml:space="preserve">.- Los Comisionados: </w:t>
      </w:r>
      <w:r w:rsidDel="00000000" w:rsidR="00000000" w:rsidRPr="00000000">
        <w:rPr>
          <w:rFonts w:ascii="Verdana" w:cs="Verdana" w:eastAsia="Verdana" w:hAnsi="Verdana"/>
          <w:b w:val="1"/>
          <w:color w:val="2f2f2f"/>
          <w:sz w:val="20"/>
          <w:szCs w:val="20"/>
          <w:rtl w:val="0"/>
        </w:rPr>
        <w:t xml:space="preserve">Oscar Mauricio Guerra Ford</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Blanca Lilia Ibarra Cadena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Rosendoevgueni Monterrey Chepov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Josefina Román Vergara</w:t>
      </w:r>
      <w:r w:rsidDel="00000000" w:rsidR="00000000" w:rsidRPr="00000000">
        <w:rPr>
          <w:rFonts w:ascii="Verdana" w:cs="Verdana" w:eastAsia="Verdana" w:hAnsi="Verdana"/>
          <w:color w:val="2f2f2f"/>
          <w:sz w:val="20"/>
          <w:szCs w:val="20"/>
          <w:rtl w:val="0"/>
        </w:rPr>
        <w:t xml:space="preserve">.- El Secretario Técnico del Pleno, </w:t>
      </w:r>
      <w:r w:rsidDel="00000000" w:rsidR="00000000" w:rsidRPr="00000000">
        <w:rPr>
          <w:rFonts w:ascii="Verdana" w:cs="Verdana" w:eastAsia="Verdana" w:hAnsi="Verdana"/>
          <w:b w:val="1"/>
          <w:color w:val="2f2f2f"/>
          <w:sz w:val="20"/>
          <w:szCs w:val="20"/>
          <w:rtl w:val="0"/>
        </w:rPr>
        <w:t xml:space="preserve">Hugo Alejandro Córdova Díaz</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HUGO ALEJANDRO CÓRDOVA DÍAZ</w:t>
      </w:r>
      <w:r w:rsidDel="00000000" w:rsidR="00000000" w:rsidRPr="00000000">
        <w:rPr>
          <w:rFonts w:ascii="Verdana" w:cs="Verdana" w:eastAsia="Verdana" w:hAnsi="Verdana"/>
          <w:color w:val="2f2f2f"/>
          <w:sz w:val="20"/>
          <w:szCs w:val="20"/>
          <w:rtl w:val="0"/>
        </w:rPr>
        <w:t xml:space="preserve">, EN MI CARÁCTER DE SECRETARIO TÉCNICO DEL PLENO DEL </w:t>
      </w:r>
      <w:r w:rsidDel="00000000" w:rsidR="00000000" w:rsidRPr="00000000">
        <w:rPr>
          <w:rFonts w:ascii="Verdana" w:cs="Verdana" w:eastAsia="Verdana" w:hAnsi="Verdana"/>
          <w:b w:val="1"/>
          <w:color w:val="2f2f2f"/>
          <w:sz w:val="20"/>
          <w:szCs w:val="20"/>
          <w:rtl w:val="0"/>
        </w:rPr>
        <w:t xml:space="preserve">INSTITUTO NACIONAL DE TRANSPARENCIA, ACCESO A LA INFORMACIÓN Y PROTECCIÓN DE DATOS PERSONALES</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CON FUNDAMENTO EN EL ARTÍCULO 45, FRACCIÓN IV, DE LA LEY FEDERAL DE TRANSPARENCIA Y ACCESO A LA INFORMACIÓN PÚBLICA, ASÍ COMO EN LO ORDENADO EN EL PUNTO DE ACUERDO </w:t>
      </w:r>
      <w:r w:rsidDel="00000000" w:rsidR="00000000" w:rsidRPr="00000000">
        <w:rPr>
          <w:rFonts w:ascii="Verdana" w:cs="Verdana" w:eastAsia="Verdana" w:hAnsi="Verdana"/>
          <w:b w:val="1"/>
          <w:color w:val="2f2f2f"/>
          <w:sz w:val="20"/>
          <w:szCs w:val="20"/>
          <w:rtl w:val="0"/>
        </w:rPr>
        <w:t xml:space="preserve">DÉCIMO TERCERO, DEL ACUERDO </w:t>
      </w:r>
      <w:r w:rsidDel="00000000" w:rsidR="00000000" w:rsidRPr="00000000">
        <w:rPr>
          <w:rFonts w:ascii="Verdana" w:cs="Verdana" w:eastAsia="Verdana" w:hAnsi="Verdana"/>
          <w:color w:val="2f2f2f"/>
          <w:sz w:val="20"/>
          <w:szCs w:val="20"/>
          <w:rtl w:val="0"/>
        </w:rPr>
        <w:t xml:space="preserve">ACT-PUB/14/07/2020.06, </w:t>
      </w:r>
      <w:r w:rsidDel="00000000" w:rsidR="00000000" w:rsidRPr="00000000">
        <w:rPr>
          <w:rFonts w:ascii="Verdana" w:cs="Verdana" w:eastAsia="Verdana" w:hAnsi="Verdana"/>
          <w:b w:val="1"/>
          <w:color w:val="2f2f2f"/>
          <w:sz w:val="20"/>
          <w:szCs w:val="20"/>
          <w:rtl w:val="0"/>
        </w:rPr>
        <w:t xml:space="preserve">CERTIFICO</w:t>
      </w:r>
      <w:r w:rsidDel="00000000" w:rsidR="00000000" w:rsidRPr="00000000">
        <w:rPr>
          <w:rFonts w:ascii="Verdana" w:cs="Verdana" w:eastAsia="Verdana" w:hAnsi="Verdana"/>
          <w:color w:val="2f2f2f"/>
          <w:sz w:val="20"/>
          <w:szCs w:val="20"/>
          <w:rtl w:val="0"/>
        </w:rPr>
        <w:t xml:space="preserve">: QUE EL PRESENTE DOCUMENTO ES FIEL Y EXACTA REPRODUCCIÓN DEL CITADO ACUERDO ACT-PUB/14/07/2020.06, APROBADO EN LA SESIÓN ORDINARIA DEL PLENO DE ESTE INSTITUTO, CELEBRADA EL CATORCE DE JULIO DE DOS MIL VEINTE; MISMO QUE SE EXPIDE EN UN TOTAL DE 8 FOJAS ÚTILES.- MÉXICO, CIUDAD DE MÉXICO, A 14 DE JULIO DE DOS MIL VEINTE.- Rúbrica.</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