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7F73" w:rsidRPr="00047F73" w:rsidRDefault="00047F73" w:rsidP="00047F73">
      <w:pPr>
        <w:pStyle w:val="ANOTACION"/>
        <w:rPr>
          <w:noProof/>
          <w:color w:val="4472C4" w:themeColor="accent1"/>
          <w:sz w:val="28"/>
          <w:szCs w:val="28"/>
        </w:rPr>
      </w:pPr>
      <w:r w:rsidRPr="00047F73">
        <w:rPr>
          <w:noProof/>
          <w:color w:val="4472C4" w:themeColor="accent1"/>
          <w:sz w:val="28"/>
          <w:szCs w:val="28"/>
        </w:rPr>
        <w:t>Diario Oficial de la Federación 23 de noviembre de 2020</w:t>
      </w:r>
    </w:p>
    <w:p w:rsidR="00047F73" w:rsidRPr="00047F73" w:rsidRDefault="00047F73" w:rsidP="00047F73">
      <w:pPr>
        <w:pStyle w:val="ANOTACION"/>
        <w:rPr>
          <w:noProof/>
          <w:color w:val="4472C4" w:themeColor="accent1"/>
          <w:sz w:val="28"/>
          <w:szCs w:val="28"/>
        </w:rPr>
      </w:pPr>
      <w:r w:rsidRPr="00047F73">
        <w:rPr>
          <w:noProof/>
          <w:color w:val="4472C4" w:themeColor="accent1"/>
          <w:sz w:val="28"/>
          <w:szCs w:val="28"/>
        </w:rPr>
        <w:t>Modificación al Anexo 3 de la Tercera Resolución de Modificaciones a la  Resolución Miscelánea Fiscal para 2020</w:t>
      </w:r>
    </w:p>
    <w:p w:rsidR="00047F73" w:rsidRPr="000856F1" w:rsidRDefault="00047F73" w:rsidP="00047F73">
      <w:pPr>
        <w:pStyle w:val="Texto"/>
        <w:ind w:firstLine="0"/>
        <w:jc w:val="center"/>
        <w:rPr>
          <w:b/>
          <w:szCs w:val="18"/>
        </w:rPr>
      </w:pPr>
      <w:r w:rsidRPr="000856F1">
        <w:rPr>
          <w:b/>
          <w:szCs w:val="18"/>
        </w:rPr>
        <w:t>CRITERIOS NO VINCULATIVOS DE LAS DISPOSICIONES FISCALES</w:t>
      </w:r>
    </w:p>
    <w:p w:rsidR="00047F73" w:rsidRPr="000856F1" w:rsidRDefault="00047F73" w:rsidP="00047F73">
      <w:pPr>
        <w:pStyle w:val="Texto"/>
        <w:rPr>
          <w:szCs w:val="18"/>
        </w:rPr>
      </w:pPr>
      <w:r w:rsidRPr="000856F1">
        <w:rPr>
          <w:b/>
          <w:szCs w:val="18"/>
        </w:rPr>
        <w:t xml:space="preserve">PRIMERO. </w:t>
      </w:r>
      <w:r w:rsidRPr="000856F1">
        <w:rPr>
          <w:szCs w:val="18"/>
        </w:rPr>
        <w:t>De conformidad con el artículo 33, fracción I, inciso h) del CFF, en relación con la regla 1.9., fracción IV de la RMF 2020, se dan a conocer los criterios no vinculativos de las disposiciones fiscales conforme a lo siguiente:</w:t>
      </w:r>
    </w:p>
    <w:tbl>
      <w:tblPr>
        <w:tblW w:w="8712"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047F73" w:rsidRPr="000856F1" w:rsidTr="00941E22">
        <w:tblPrEx>
          <w:tblCellMar>
            <w:top w:w="0" w:type="dxa"/>
            <w:bottom w:w="0" w:type="dxa"/>
          </w:tblCellMar>
        </w:tblPrEx>
        <w:trPr>
          <w:trHeight w:val="20"/>
        </w:trPr>
        <w:tc>
          <w:tcPr>
            <w:tcW w:w="8712" w:type="dxa"/>
            <w:tcBorders>
              <w:top w:val="nil"/>
              <w:left w:val="nil"/>
              <w:bottom w:val="single" w:sz="6" w:space="0" w:color="auto"/>
              <w:right w:val="nil"/>
            </w:tcBorders>
            <w:shd w:val="clear" w:color="auto" w:fill="C0C0C0"/>
            <w:noWrap/>
          </w:tcPr>
          <w:p w:rsidR="00047F73" w:rsidRPr="000856F1" w:rsidRDefault="00047F73" w:rsidP="00941E22">
            <w:pPr>
              <w:pStyle w:val="Texto"/>
              <w:ind w:firstLine="0"/>
              <w:jc w:val="center"/>
              <w:rPr>
                <w:b/>
                <w:noProof/>
                <w:szCs w:val="18"/>
              </w:rPr>
            </w:pPr>
            <w:r w:rsidRPr="000856F1">
              <w:rPr>
                <w:b/>
                <w:noProof/>
                <w:szCs w:val="18"/>
              </w:rPr>
              <w:t>Contenido</w:t>
            </w:r>
          </w:p>
        </w:tc>
      </w:tr>
      <w:tr w:rsidR="00047F73" w:rsidRPr="000856F1" w:rsidTr="00941E22">
        <w:tblPrEx>
          <w:tblBorders>
            <w:insideH w:val="none" w:sz="0" w:space="0" w:color="auto"/>
          </w:tblBorders>
          <w:tblCellMar>
            <w:top w:w="0" w:type="dxa"/>
            <w:bottom w:w="0" w:type="dxa"/>
          </w:tblCellMar>
        </w:tblPrEx>
        <w:trPr>
          <w:trHeight w:val="20"/>
        </w:trPr>
        <w:tc>
          <w:tcPr>
            <w:tcW w:w="8712" w:type="dxa"/>
            <w:tcBorders>
              <w:top w:val="single" w:sz="6" w:space="0" w:color="auto"/>
              <w:bottom w:val="single" w:sz="6" w:space="0" w:color="auto"/>
            </w:tcBorders>
          </w:tcPr>
          <w:p w:rsidR="00047F73" w:rsidRPr="000856F1" w:rsidRDefault="00047F73" w:rsidP="00941E22">
            <w:pPr>
              <w:pStyle w:val="Texto"/>
              <w:ind w:firstLine="0"/>
              <w:rPr>
                <w:b/>
                <w:szCs w:val="18"/>
              </w:rPr>
            </w:pPr>
            <w:r w:rsidRPr="000856F1">
              <w:rPr>
                <w:b/>
                <w:szCs w:val="18"/>
              </w:rPr>
              <w:t>APARTADOS:</w:t>
            </w:r>
          </w:p>
        </w:tc>
      </w:tr>
      <w:tr w:rsidR="00047F73" w:rsidRPr="000856F1" w:rsidTr="00941E22">
        <w:tblPrEx>
          <w:tblBorders>
            <w:insideH w:val="none" w:sz="0" w:space="0" w:color="auto"/>
          </w:tblBorders>
          <w:tblCellMar>
            <w:top w:w="0" w:type="dxa"/>
            <w:bottom w:w="0" w:type="dxa"/>
          </w:tblCellMar>
        </w:tblPrEx>
        <w:trPr>
          <w:trHeight w:val="20"/>
        </w:trPr>
        <w:tc>
          <w:tcPr>
            <w:tcW w:w="8712" w:type="dxa"/>
            <w:tcBorders>
              <w:top w:val="single" w:sz="6" w:space="0" w:color="auto"/>
            </w:tcBorders>
          </w:tcPr>
          <w:p w:rsidR="00047F73" w:rsidRPr="000856F1" w:rsidRDefault="00047F73" w:rsidP="00941E22">
            <w:pPr>
              <w:pStyle w:val="Texto"/>
              <w:ind w:firstLine="0"/>
              <w:jc w:val="center"/>
              <w:rPr>
                <w:b/>
                <w:szCs w:val="18"/>
              </w:rPr>
            </w:pPr>
            <w:r w:rsidRPr="000856F1">
              <w:rPr>
                <w:b/>
                <w:szCs w:val="18"/>
              </w:rPr>
              <w:t>A. Criterios del CFF</w:t>
            </w:r>
          </w:p>
          <w:p w:rsidR="00047F73" w:rsidRPr="000856F1" w:rsidRDefault="00047F73" w:rsidP="00941E22">
            <w:pPr>
              <w:pStyle w:val="Texto"/>
              <w:ind w:firstLine="0"/>
              <w:rPr>
                <w:szCs w:val="18"/>
              </w:rPr>
            </w:pPr>
            <w:r w:rsidRPr="000856F1">
              <w:rPr>
                <w:b/>
                <w:szCs w:val="18"/>
              </w:rPr>
              <w:t>1/CFF/NV</w:t>
            </w:r>
            <w:r w:rsidRPr="000856F1">
              <w:rPr>
                <w:szCs w:val="18"/>
              </w:rPr>
              <w:tab/>
            </w:r>
          </w:p>
          <w:p w:rsidR="00047F73" w:rsidRPr="000856F1" w:rsidRDefault="00047F73" w:rsidP="00941E22">
            <w:pPr>
              <w:pStyle w:val="Texto"/>
              <w:ind w:firstLine="0"/>
              <w:jc w:val="center"/>
              <w:rPr>
                <w:szCs w:val="18"/>
              </w:rPr>
            </w:pPr>
            <w:r w:rsidRPr="000856F1">
              <w:rPr>
                <w:b/>
                <w:szCs w:val="18"/>
              </w:rPr>
              <w:t>B. Criterios de la Ley del ISR</w:t>
            </w:r>
          </w:p>
          <w:p w:rsidR="00047F73" w:rsidRPr="000856F1" w:rsidRDefault="00047F73" w:rsidP="00941E22">
            <w:pPr>
              <w:pStyle w:val="Texto"/>
              <w:ind w:firstLine="0"/>
              <w:rPr>
                <w:b/>
                <w:szCs w:val="18"/>
              </w:rPr>
            </w:pPr>
            <w:r w:rsidRPr="000856F1">
              <w:rPr>
                <w:b/>
                <w:szCs w:val="18"/>
              </w:rPr>
              <w:t>1/ISR/NV a</w:t>
            </w:r>
            <w:r w:rsidRPr="000856F1">
              <w:rPr>
                <w:b/>
                <w:szCs w:val="18"/>
              </w:rPr>
              <w:tab/>
            </w:r>
          </w:p>
          <w:p w:rsidR="00047F73" w:rsidRPr="000856F1" w:rsidRDefault="00047F73" w:rsidP="00941E22">
            <w:pPr>
              <w:pStyle w:val="Texto"/>
              <w:ind w:firstLine="0"/>
              <w:rPr>
                <w:b/>
                <w:szCs w:val="18"/>
              </w:rPr>
            </w:pPr>
            <w:r w:rsidRPr="000856F1">
              <w:rPr>
                <w:b/>
                <w:szCs w:val="18"/>
              </w:rPr>
              <w:t>46/ISR/NV</w:t>
            </w:r>
            <w:r w:rsidRPr="000856F1">
              <w:rPr>
                <w:b/>
                <w:szCs w:val="18"/>
              </w:rPr>
              <w:tab/>
              <w:t>..........................................................................................................................................</w:t>
            </w:r>
          </w:p>
          <w:p w:rsidR="00047F73" w:rsidRPr="000856F1" w:rsidRDefault="00047F73" w:rsidP="00941E22">
            <w:pPr>
              <w:pStyle w:val="Texto"/>
              <w:ind w:firstLine="0"/>
              <w:rPr>
                <w:szCs w:val="18"/>
              </w:rPr>
            </w:pPr>
          </w:p>
        </w:tc>
      </w:tr>
      <w:tr w:rsidR="00047F73" w:rsidRPr="000856F1" w:rsidTr="00941E22">
        <w:tblPrEx>
          <w:tblBorders>
            <w:insideH w:val="none" w:sz="0" w:space="0" w:color="auto"/>
          </w:tblBorders>
          <w:tblCellMar>
            <w:top w:w="0" w:type="dxa"/>
            <w:bottom w:w="0" w:type="dxa"/>
          </w:tblCellMar>
        </w:tblPrEx>
        <w:trPr>
          <w:trHeight w:val="20"/>
        </w:trPr>
        <w:tc>
          <w:tcPr>
            <w:tcW w:w="8712" w:type="dxa"/>
          </w:tcPr>
          <w:p w:rsidR="00047F73" w:rsidRPr="000856F1" w:rsidRDefault="00047F73" w:rsidP="00941E22">
            <w:pPr>
              <w:pStyle w:val="Texto"/>
              <w:ind w:firstLine="0"/>
              <w:jc w:val="center"/>
              <w:rPr>
                <w:b/>
                <w:szCs w:val="18"/>
              </w:rPr>
            </w:pPr>
            <w:r w:rsidRPr="000856F1">
              <w:rPr>
                <w:b/>
                <w:szCs w:val="18"/>
              </w:rPr>
              <w:t>C. Criterios de la Ley del IVA</w:t>
            </w:r>
          </w:p>
          <w:p w:rsidR="00047F73" w:rsidRPr="000856F1" w:rsidRDefault="00047F73" w:rsidP="00941E22">
            <w:pPr>
              <w:pStyle w:val="Texto"/>
              <w:ind w:firstLine="0"/>
              <w:rPr>
                <w:szCs w:val="18"/>
              </w:rPr>
            </w:pPr>
            <w:r w:rsidRPr="000856F1">
              <w:rPr>
                <w:b/>
                <w:szCs w:val="18"/>
                <w:lang w:val="pt-BR"/>
              </w:rPr>
              <w:t>1/IVA/NV a</w:t>
            </w:r>
            <w:r w:rsidRPr="000856F1">
              <w:rPr>
                <w:b/>
                <w:szCs w:val="18"/>
              </w:rPr>
              <w:tab/>
            </w:r>
          </w:p>
          <w:p w:rsidR="00047F73" w:rsidRPr="000856F1" w:rsidRDefault="00047F73" w:rsidP="00941E22">
            <w:pPr>
              <w:pStyle w:val="Texto"/>
              <w:ind w:firstLine="0"/>
              <w:rPr>
                <w:b/>
                <w:szCs w:val="18"/>
              </w:rPr>
            </w:pPr>
            <w:r w:rsidRPr="000856F1">
              <w:rPr>
                <w:b/>
                <w:szCs w:val="18"/>
                <w:lang w:val="pt-BR"/>
              </w:rPr>
              <w:t>11/IVA/NV</w:t>
            </w:r>
            <w:r w:rsidRPr="000856F1">
              <w:rPr>
                <w:b/>
                <w:szCs w:val="18"/>
                <w:lang w:val="pt-BR"/>
              </w:rPr>
              <w:tab/>
            </w:r>
            <w:r w:rsidRPr="000856F1">
              <w:rPr>
                <w:b/>
                <w:szCs w:val="18"/>
              </w:rPr>
              <w:t>..........................................................................................................................................</w:t>
            </w:r>
          </w:p>
        </w:tc>
      </w:tr>
      <w:tr w:rsidR="00047F73" w:rsidRPr="000856F1" w:rsidTr="00941E22">
        <w:tblPrEx>
          <w:tblBorders>
            <w:insideH w:val="none" w:sz="0" w:space="0" w:color="auto"/>
          </w:tblBorders>
          <w:tblCellMar>
            <w:top w:w="0" w:type="dxa"/>
            <w:bottom w:w="0" w:type="dxa"/>
          </w:tblCellMar>
        </w:tblPrEx>
        <w:trPr>
          <w:trHeight w:val="20"/>
        </w:trPr>
        <w:tc>
          <w:tcPr>
            <w:tcW w:w="8712" w:type="dxa"/>
          </w:tcPr>
          <w:p w:rsidR="00047F73" w:rsidRPr="000856F1" w:rsidRDefault="00047F73" w:rsidP="00941E22">
            <w:pPr>
              <w:pStyle w:val="Texto"/>
              <w:ind w:firstLine="0"/>
              <w:jc w:val="center"/>
              <w:rPr>
                <w:b/>
                <w:szCs w:val="18"/>
              </w:rPr>
            </w:pPr>
            <w:r w:rsidRPr="000856F1">
              <w:rPr>
                <w:b/>
                <w:szCs w:val="18"/>
              </w:rPr>
              <w:t>D. Criterios de la Ley del IEPS</w:t>
            </w:r>
          </w:p>
          <w:p w:rsidR="00047F73" w:rsidRPr="000856F1" w:rsidRDefault="00047F73" w:rsidP="00941E22">
            <w:pPr>
              <w:pStyle w:val="Texto"/>
              <w:ind w:firstLine="0"/>
              <w:rPr>
                <w:szCs w:val="18"/>
                <w:lang w:val="en-US"/>
              </w:rPr>
            </w:pPr>
            <w:r w:rsidRPr="000856F1">
              <w:rPr>
                <w:b/>
                <w:szCs w:val="18"/>
                <w:lang w:val="en-US"/>
              </w:rPr>
              <w:t>1/IEPS/NV a</w:t>
            </w:r>
            <w:r w:rsidRPr="000856F1">
              <w:rPr>
                <w:b/>
                <w:szCs w:val="18"/>
                <w:lang w:val="pt-BR"/>
              </w:rPr>
              <w:tab/>
            </w:r>
          </w:p>
          <w:p w:rsidR="00047F73" w:rsidRPr="000856F1" w:rsidRDefault="00047F73" w:rsidP="00941E22">
            <w:pPr>
              <w:pStyle w:val="Texto"/>
              <w:ind w:firstLine="0"/>
              <w:rPr>
                <w:b/>
                <w:szCs w:val="18"/>
                <w:lang w:val="en-US"/>
              </w:rPr>
            </w:pPr>
            <w:r w:rsidRPr="000856F1">
              <w:rPr>
                <w:b/>
                <w:szCs w:val="18"/>
                <w:lang w:val="en-US"/>
              </w:rPr>
              <w:t>5/IEPS/NV</w:t>
            </w:r>
            <w:r w:rsidRPr="000856F1">
              <w:rPr>
                <w:b/>
                <w:szCs w:val="18"/>
                <w:lang w:val="en-US"/>
              </w:rPr>
              <w:tab/>
              <w:t>..........................................................................................................................................</w:t>
            </w:r>
          </w:p>
          <w:p w:rsidR="00047F73" w:rsidRPr="000856F1" w:rsidRDefault="00047F73" w:rsidP="00941E22">
            <w:pPr>
              <w:pStyle w:val="Texto"/>
              <w:ind w:firstLine="0"/>
              <w:jc w:val="center"/>
              <w:rPr>
                <w:b/>
                <w:szCs w:val="18"/>
              </w:rPr>
            </w:pPr>
            <w:r w:rsidRPr="000856F1">
              <w:rPr>
                <w:b/>
                <w:szCs w:val="18"/>
              </w:rPr>
              <w:t>E. Criterios de la Ley de los Impuestos Generales de Importación y Exportación</w:t>
            </w:r>
          </w:p>
          <w:p w:rsidR="00047F73" w:rsidRPr="000856F1" w:rsidRDefault="00047F73" w:rsidP="00941E22">
            <w:pPr>
              <w:pStyle w:val="Texto"/>
              <w:ind w:firstLine="0"/>
              <w:rPr>
                <w:szCs w:val="18"/>
              </w:rPr>
            </w:pPr>
            <w:r w:rsidRPr="000856F1">
              <w:rPr>
                <w:b/>
                <w:szCs w:val="18"/>
              </w:rPr>
              <w:t>1/LIGIE/NV</w:t>
            </w:r>
            <w:r w:rsidRPr="000856F1">
              <w:rPr>
                <w:szCs w:val="18"/>
              </w:rPr>
              <w:tab/>
            </w:r>
          </w:p>
          <w:p w:rsidR="00047F73" w:rsidRPr="000856F1" w:rsidRDefault="00047F73" w:rsidP="00941E22">
            <w:pPr>
              <w:pStyle w:val="Texto"/>
              <w:ind w:firstLine="0"/>
              <w:jc w:val="center"/>
              <w:rPr>
                <w:b/>
                <w:szCs w:val="18"/>
              </w:rPr>
            </w:pPr>
            <w:r w:rsidRPr="000856F1">
              <w:rPr>
                <w:b/>
                <w:szCs w:val="18"/>
              </w:rPr>
              <w:t>F. Criterios de la LISH</w:t>
            </w:r>
          </w:p>
          <w:p w:rsidR="00047F73" w:rsidRPr="000856F1" w:rsidRDefault="00047F73" w:rsidP="00941E22">
            <w:pPr>
              <w:pStyle w:val="Texto"/>
              <w:ind w:firstLine="0"/>
              <w:rPr>
                <w:szCs w:val="18"/>
                <w:lang w:val="en-US"/>
              </w:rPr>
            </w:pPr>
            <w:r w:rsidRPr="000856F1">
              <w:rPr>
                <w:b/>
                <w:szCs w:val="18"/>
                <w:lang w:val="en-US"/>
              </w:rPr>
              <w:t>1/LISH/NV a</w:t>
            </w:r>
            <w:r w:rsidRPr="000856F1">
              <w:rPr>
                <w:szCs w:val="18"/>
                <w:lang w:val="en-US"/>
              </w:rPr>
              <w:tab/>
            </w:r>
          </w:p>
          <w:p w:rsidR="00047F73" w:rsidRPr="000856F1" w:rsidRDefault="00047F73" w:rsidP="00941E22">
            <w:pPr>
              <w:pStyle w:val="Texto"/>
              <w:ind w:firstLine="0"/>
              <w:rPr>
                <w:b/>
                <w:szCs w:val="18"/>
                <w:lang w:val="en-US"/>
              </w:rPr>
            </w:pPr>
            <w:r w:rsidRPr="000856F1">
              <w:rPr>
                <w:b/>
                <w:szCs w:val="18"/>
                <w:lang w:val="en-US"/>
              </w:rPr>
              <w:t>2/LISH/NV ................................................................................................................................................</w:t>
            </w:r>
          </w:p>
          <w:p w:rsidR="00047F73" w:rsidRPr="000856F1" w:rsidRDefault="00047F73" w:rsidP="00941E22">
            <w:pPr>
              <w:pStyle w:val="Texto"/>
              <w:ind w:firstLine="0"/>
              <w:jc w:val="center"/>
              <w:rPr>
                <w:b/>
                <w:szCs w:val="18"/>
              </w:rPr>
            </w:pPr>
            <w:r w:rsidRPr="000856F1">
              <w:rPr>
                <w:b/>
                <w:szCs w:val="18"/>
              </w:rPr>
              <w:t>G. Criterios de la LIF</w:t>
            </w:r>
          </w:p>
          <w:p w:rsidR="00047F73" w:rsidRPr="000856F1" w:rsidRDefault="00047F73" w:rsidP="00941E22">
            <w:pPr>
              <w:pStyle w:val="Texto"/>
              <w:ind w:firstLine="0"/>
              <w:rPr>
                <w:b/>
                <w:szCs w:val="18"/>
              </w:rPr>
            </w:pPr>
            <w:r w:rsidRPr="000856F1">
              <w:rPr>
                <w:b/>
                <w:szCs w:val="18"/>
              </w:rPr>
              <w:t>1/LIF/NV</w:t>
            </w:r>
          </w:p>
          <w:p w:rsidR="00047F73" w:rsidRPr="000856F1" w:rsidRDefault="00047F73" w:rsidP="00941E22">
            <w:pPr>
              <w:pStyle w:val="Texto"/>
              <w:ind w:firstLine="0"/>
              <w:jc w:val="center"/>
              <w:rPr>
                <w:b/>
                <w:szCs w:val="18"/>
              </w:rPr>
            </w:pPr>
            <w:r w:rsidRPr="000856F1">
              <w:rPr>
                <w:b/>
                <w:szCs w:val="18"/>
              </w:rPr>
              <w:t>H. Criterios de la LFD</w:t>
            </w:r>
          </w:p>
          <w:p w:rsidR="00047F73" w:rsidRPr="000856F1" w:rsidRDefault="00047F73" w:rsidP="00941E22">
            <w:pPr>
              <w:pStyle w:val="Texto"/>
              <w:ind w:firstLine="0"/>
              <w:rPr>
                <w:b/>
                <w:szCs w:val="18"/>
              </w:rPr>
            </w:pPr>
            <w:r w:rsidRPr="000856F1">
              <w:rPr>
                <w:b/>
                <w:szCs w:val="18"/>
              </w:rPr>
              <w:t>1/LFD/NV a</w:t>
            </w:r>
          </w:p>
          <w:p w:rsidR="00047F73" w:rsidRPr="000856F1" w:rsidRDefault="00047F73" w:rsidP="00941E22">
            <w:pPr>
              <w:pStyle w:val="Texto"/>
              <w:ind w:firstLine="0"/>
              <w:rPr>
                <w:b/>
                <w:szCs w:val="18"/>
              </w:rPr>
            </w:pPr>
            <w:r w:rsidRPr="000856F1">
              <w:rPr>
                <w:b/>
                <w:szCs w:val="18"/>
              </w:rPr>
              <w:t>4/LFD/NV ................................................................................................................................................</w:t>
            </w:r>
          </w:p>
          <w:p w:rsidR="00047F73" w:rsidRPr="000856F1" w:rsidRDefault="00047F73" w:rsidP="00941E22">
            <w:pPr>
              <w:pStyle w:val="Texto"/>
              <w:ind w:left="1296" w:hanging="1296"/>
              <w:rPr>
                <w:szCs w:val="18"/>
              </w:rPr>
            </w:pPr>
            <w:r w:rsidRPr="000856F1">
              <w:rPr>
                <w:b/>
                <w:szCs w:val="18"/>
              </w:rPr>
              <w:t>5/LFD/NV</w:t>
            </w:r>
            <w:r w:rsidRPr="000856F1">
              <w:rPr>
                <w:szCs w:val="18"/>
              </w:rPr>
              <w:tab/>
              <w:t xml:space="preserve">Derecho Especial sobre Minería. Para su determinación es improcedente la deducción de inversiones de activo fijo, </w:t>
            </w:r>
            <w:proofErr w:type="gramStart"/>
            <w:r w:rsidRPr="000856F1">
              <w:rPr>
                <w:szCs w:val="18"/>
              </w:rPr>
              <w:t>gastos diferidos y cargos diferidos</w:t>
            </w:r>
            <w:proofErr w:type="gramEnd"/>
            <w:r w:rsidRPr="000856F1">
              <w:rPr>
                <w:szCs w:val="18"/>
              </w:rPr>
              <w:t>.</w:t>
            </w:r>
          </w:p>
          <w:p w:rsidR="00047F73" w:rsidRPr="000856F1" w:rsidRDefault="00047F73" w:rsidP="00941E22">
            <w:pPr>
              <w:pStyle w:val="Texto"/>
              <w:ind w:left="1296" w:hanging="1296"/>
              <w:rPr>
                <w:szCs w:val="18"/>
              </w:rPr>
            </w:pPr>
            <w:r w:rsidRPr="000856F1">
              <w:rPr>
                <w:b/>
                <w:szCs w:val="18"/>
              </w:rPr>
              <w:t>6/LFD/NV</w:t>
            </w:r>
            <w:r w:rsidRPr="000856F1">
              <w:rPr>
                <w:szCs w:val="18"/>
              </w:rPr>
              <w:tab/>
              <w:t>Derecho Especial sobre Minería. La adquisición de concesiones mineras no tiene la naturaleza de inversión realizada para la prospección y exploración minera, por lo que es improcedente su deducción para la determinación del citado derecho.</w:t>
            </w:r>
          </w:p>
        </w:tc>
      </w:tr>
      <w:tr w:rsidR="00047F73" w:rsidRPr="000856F1" w:rsidTr="00941E22">
        <w:tblPrEx>
          <w:tblBorders>
            <w:insideH w:val="none" w:sz="0" w:space="0" w:color="auto"/>
          </w:tblBorders>
          <w:tblCellMar>
            <w:top w:w="0" w:type="dxa"/>
            <w:bottom w:w="0" w:type="dxa"/>
          </w:tblCellMar>
        </w:tblPrEx>
        <w:trPr>
          <w:trHeight w:val="20"/>
        </w:trPr>
        <w:tc>
          <w:tcPr>
            <w:tcW w:w="8712" w:type="dxa"/>
          </w:tcPr>
          <w:p w:rsidR="00047F73" w:rsidRPr="000856F1" w:rsidRDefault="00047F73" w:rsidP="00941E22">
            <w:pPr>
              <w:pStyle w:val="Texto"/>
              <w:ind w:firstLine="0"/>
              <w:rPr>
                <w:b/>
                <w:szCs w:val="18"/>
              </w:rPr>
            </w:pPr>
          </w:p>
        </w:tc>
      </w:tr>
    </w:tbl>
    <w:p w:rsidR="00047F73" w:rsidRPr="000856F1" w:rsidRDefault="00047F73" w:rsidP="00047F73">
      <w:pPr>
        <w:pStyle w:val="Texto"/>
        <w:spacing w:after="0"/>
        <w:rPr>
          <w:b/>
          <w:szCs w:val="18"/>
        </w:rPr>
      </w:pPr>
    </w:p>
    <w:p w:rsidR="00047F73" w:rsidRPr="000856F1" w:rsidRDefault="00047F73" w:rsidP="00047F73">
      <w:pPr>
        <w:pStyle w:val="Texto"/>
        <w:spacing w:after="80"/>
        <w:ind w:firstLine="0"/>
        <w:jc w:val="center"/>
        <w:rPr>
          <w:b/>
          <w:szCs w:val="18"/>
        </w:rPr>
      </w:pPr>
      <w:r w:rsidRPr="000856F1">
        <w:rPr>
          <w:b/>
          <w:szCs w:val="18"/>
        </w:rPr>
        <w:t>A. Criterios del CFF</w:t>
      </w:r>
    </w:p>
    <w:p w:rsidR="00047F73" w:rsidRPr="000856F1" w:rsidRDefault="00047F73" w:rsidP="00047F73">
      <w:pPr>
        <w:pStyle w:val="Texto"/>
        <w:spacing w:after="80"/>
        <w:rPr>
          <w:b/>
          <w:szCs w:val="18"/>
        </w:rPr>
      </w:pPr>
      <w:r w:rsidRPr="000856F1">
        <w:rPr>
          <w:b/>
          <w:szCs w:val="18"/>
        </w:rPr>
        <w:t>1/CFF/NV</w:t>
      </w:r>
      <w:r w:rsidRPr="000856F1">
        <w:rPr>
          <w:szCs w:val="18"/>
        </w:rPr>
        <w:tab/>
      </w:r>
      <w:r w:rsidRPr="000856F1">
        <w:rPr>
          <w:b/>
          <w:szCs w:val="18"/>
        </w:rPr>
        <w:t>............................................................................................................................................</w:t>
      </w:r>
    </w:p>
    <w:p w:rsidR="00047F73" w:rsidRPr="000856F1" w:rsidRDefault="00047F73" w:rsidP="00047F73">
      <w:pPr>
        <w:pStyle w:val="Texto"/>
        <w:spacing w:after="80"/>
        <w:ind w:firstLine="0"/>
        <w:jc w:val="center"/>
        <w:rPr>
          <w:b/>
          <w:szCs w:val="18"/>
        </w:rPr>
      </w:pPr>
      <w:r w:rsidRPr="000856F1">
        <w:rPr>
          <w:b/>
          <w:szCs w:val="18"/>
        </w:rPr>
        <w:t>B. Criterios de la Ley del ISR</w:t>
      </w:r>
    </w:p>
    <w:p w:rsidR="00047F73" w:rsidRPr="000856F1" w:rsidRDefault="00047F73" w:rsidP="00047F73">
      <w:pPr>
        <w:pStyle w:val="Texto"/>
        <w:spacing w:after="80"/>
        <w:rPr>
          <w:szCs w:val="18"/>
        </w:rPr>
      </w:pPr>
      <w:r w:rsidRPr="000856F1">
        <w:rPr>
          <w:b/>
          <w:szCs w:val="18"/>
        </w:rPr>
        <w:t>1/ISR/NV a</w:t>
      </w:r>
      <w:r w:rsidRPr="000856F1">
        <w:rPr>
          <w:b/>
          <w:szCs w:val="18"/>
        </w:rPr>
        <w:tab/>
      </w:r>
    </w:p>
    <w:p w:rsidR="00047F73" w:rsidRPr="000856F1" w:rsidRDefault="00047F73" w:rsidP="00047F73">
      <w:pPr>
        <w:pStyle w:val="Texto"/>
        <w:spacing w:after="80"/>
        <w:rPr>
          <w:b/>
          <w:szCs w:val="18"/>
        </w:rPr>
      </w:pPr>
      <w:r w:rsidRPr="000856F1">
        <w:rPr>
          <w:b/>
          <w:szCs w:val="18"/>
        </w:rPr>
        <w:lastRenderedPageBreak/>
        <w:t>46/ISR/NV</w:t>
      </w:r>
      <w:r w:rsidRPr="000856F1">
        <w:rPr>
          <w:b/>
          <w:szCs w:val="18"/>
        </w:rPr>
        <w:tab/>
        <w:t>.............................................................................................................................................</w:t>
      </w:r>
    </w:p>
    <w:p w:rsidR="00047F73" w:rsidRPr="000856F1" w:rsidRDefault="00047F73" w:rsidP="00047F73">
      <w:pPr>
        <w:pStyle w:val="Texto"/>
        <w:spacing w:after="80"/>
        <w:ind w:firstLine="0"/>
        <w:jc w:val="center"/>
        <w:rPr>
          <w:b/>
          <w:szCs w:val="18"/>
        </w:rPr>
      </w:pPr>
      <w:r w:rsidRPr="000856F1">
        <w:rPr>
          <w:b/>
          <w:szCs w:val="18"/>
        </w:rPr>
        <w:t>C. Criterios de la Ley del IVA</w:t>
      </w:r>
    </w:p>
    <w:p w:rsidR="00047F73" w:rsidRPr="000856F1" w:rsidRDefault="00047F73" w:rsidP="00047F73">
      <w:pPr>
        <w:pStyle w:val="Texto"/>
        <w:rPr>
          <w:b/>
          <w:szCs w:val="18"/>
        </w:rPr>
      </w:pPr>
      <w:r w:rsidRPr="000856F1">
        <w:rPr>
          <w:b/>
          <w:szCs w:val="18"/>
          <w:lang w:val="pt-BR"/>
        </w:rPr>
        <w:t>1/IVA/NV a</w:t>
      </w:r>
      <w:r w:rsidRPr="000856F1">
        <w:rPr>
          <w:b/>
          <w:szCs w:val="18"/>
        </w:rPr>
        <w:tab/>
      </w:r>
    </w:p>
    <w:p w:rsidR="00047F73" w:rsidRPr="000856F1" w:rsidRDefault="00047F73" w:rsidP="00047F73">
      <w:pPr>
        <w:pStyle w:val="Texto"/>
        <w:rPr>
          <w:b/>
          <w:szCs w:val="18"/>
        </w:rPr>
      </w:pPr>
      <w:r w:rsidRPr="000856F1">
        <w:rPr>
          <w:b/>
          <w:szCs w:val="18"/>
        </w:rPr>
        <w:t>11/IVA/NV</w:t>
      </w:r>
      <w:r w:rsidRPr="000856F1">
        <w:rPr>
          <w:b/>
          <w:szCs w:val="18"/>
        </w:rPr>
        <w:tab/>
        <w:t>..............................................................................................................................................</w:t>
      </w:r>
    </w:p>
    <w:p w:rsidR="00047F73" w:rsidRPr="000856F1" w:rsidRDefault="00047F73" w:rsidP="00047F73">
      <w:pPr>
        <w:pStyle w:val="Texto"/>
        <w:spacing w:after="80"/>
        <w:ind w:firstLine="0"/>
        <w:jc w:val="center"/>
        <w:rPr>
          <w:b/>
          <w:szCs w:val="18"/>
        </w:rPr>
      </w:pPr>
      <w:r w:rsidRPr="000856F1">
        <w:rPr>
          <w:b/>
          <w:szCs w:val="18"/>
        </w:rPr>
        <w:t>D. Criterios de la Ley del IEPS</w:t>
      </w:r>
    </w:p>
    <w:p w:rsidR="00047F73" w:rsidRPr="000856F1" w:rsidRDefault="00047F73" w:rsidP="00047F73">
      <w:pPr>
        <w:pStyle w:val="Texto"/>
        <w:spacing w:after="80"/>
        <w:rPr>
          <w:szCs w:val="18"/>
          <w:lang w:val="en-US"/>
        </w:rPr>
      </w:pPr>
      <w:r w:rsidRPr="000856F1">
        <w:rPr>
          <w:b/>
          <w:szCs w:val="18"/>
          <w:lang w:val="en-US"/>
        </w:rPr>
        <w:t>1/IEPS/NV a</w:t>
      </w:r>
      <w:r w:rsidRPr="000856F1">
        <w:rPr>
          <w:b/>
          <w:szCs w:val="18"/>
          <w:lang w:val="en-US"/>
        </w:rPr>
        <w:tab/>
      </w:r>
    </w:p>
    <w:p w:rsidR="00047F73" w:rsidRPr="000856F1" w:rsidRDefault="00047F73" w:rsidP="00047F73">
      <w:pPr>
        <w:pStyle w:val="Texto"/>
        <w:spacing w:after="80"/>
        <w:rPr>
          <w:szCs w:val="18"/>
          <w:lang w:val="en-US"/>
        </w:rPr>
      </w:pPr>
      <w:r w:rsidRPr="000856F1">
        <w:rPr>
          <w:b/>
          <w:szCs w:val="18"/>
          <w:lang w:val="en-US"/>
        </w:rPr>
        <w:t>5/IEPS/NV</w:t>
      </w:r>
      <w:r w:rsidRPr="000856F1">
        <w:rPr>
          <w:b/>
          <w:szCs w:val="18"/>
          <w:lang w:val="en-US"/>
        </w:rPr>
        <w:tab/>
        <w:t>...............................................................................................................................................</w:t>
      </w:r>
    </w:p>
    <w:p w:rsidR="00047F73" w:rsidRPr="000856F1" w:rsidRDefault="00047F73" w:rsidP="00047F73">
      <w:pPr>
        <w:pStyle w:val="Texto"/>
        <w:spacing w:after="80"/>
        <w:ind w:firstLine="0"/>
        <w:jc w:val="center"/>
        <w:rPr>
          <w:b/>
          <w:szCs w:val="18"/>
        </w:rPr>
      </w:pPr>
      <w:r w:rsidRPr="000856F1">
        <w:rPr>
          <w:b/>
          <w:szCs w:val="18"/>
        </w:rPr>
        <w:t>E. Criterios de la Ley de los Impuestos Generales de Importación y Exportación</w:t>
      </w:r>
    </w:p>
    <w:p w:rsidR="00047F73" w:rsidRPr="000856F1" w:rsidRDefault="00047F73" w:rsidP="00047F73">
      <w:pPr>
        <w:pStyle w:val="Texto"/>
        <w:spacing w:after="80"/>
        <w:rPr>
          <w:szCs w:val="18"/>
        </w:rPr>
      </w:pPr>
      <w:r w:rsidRPr="000856F1">
        <w:rPr>
          <w:b/>
          <w:szCs w:val="18"/>
        </w:rPr>
        <w:t>1/LIGIE/NV</w:t>
      </w:r>
      <w:r w:rsidRPr="000856F1">
        <w:rPr>
          <w:szCs w:val="18"/>
        </w:rPr>
        <w:tab/>
      </w:r>
      <w:r w:rsidRPr="000856F1">
        <w:rPr>
          <w:b/>
          <w:szCs w:val="18"/>
        </w:rPr>
        <w:t>...............................................................................................................................................</w:t>
      </w:r>
    </w:p>
    <w:p w:rsidR="00047F73" w:rsidRPr="000856F1" w:rsidRDefault="00047F73" w:rsidP="00047F73">
      <w:pPr>
        <w:pStyle w:val="Texto"/>
        <w:spacing w:after="80"/>
        <w:ind w:firstLine="0"/>
        <w:jc w:val="center"/>
        <w:rPr>
          <w:b/>
          <w:szCs w:val="18"/>
        </w:rPr>
      </w:pPr>
      <w:r w:rsidRPr="000856F1">
        <w:rPr>
          <w:b/>
          <w:szCs w:val="18"/>
        </w:rPr>
        <w:t>F. Criterios de la LISH</w:t>
      </w:r>
    </w:p>
    <w:p w:rsidR="00047F73" w:rsidRPr="000856F1" w:rsidRDefault="00047F73" w:rsidP="00047F73">
      <w:pPr>
        <w:pStyle w:val="Texto"/>
        <w:spacing w:after="80"/>
        <w:rPr>
          <w:szCs w:val="18"/>
          <w:lang w:val="en-US"/>
        </w:rPr>
      </w:pPr>
      <w:r w:rsidRPr="000856F1">
        <w:rPr>
          <w:b/>
          <w:szCs w:val="18"/>
          <w:lang w:val="en-US"/>
        </w:rPr>
        <w:t>1/LISH/NV a</w:t>
      </w:r>
      <w:r w:rsidRPr="000856F1">
        <w:rPr>
          <w:b/>
          <w:szCs w:val="18"/>
          <w:lang w:val="en-US"/>
        </w:rPr>
        <w:tab/>
      </w:r>
    </w:p>
    <w:p w:rsidR="00047F73" w:rsidRPr="000856F1" w:rsidRDefault="00047F73" w:rsidP="00047F73">
      <w:pPr>
        <w:pStyle w:val="Texto"/>
        <w:spacing w:after="80"/>
        <w:rPr>
          <w:b/>
          <w:szCs w:val="18"/>
          <w:lang w:val="en-US"/>
        </w:rPr>
      </w:pPr>
      <w:r w:rsidRPr="000856F1">
        <w:rPr>
          <w:b/>
          <w:szCs w:val="18"/>
          <w:lang w:val="en-US"/>
        </w:rPr>
        <w:t>2/LISH/NV</w:t>
      </w:r>
      <w:r w:rsidRPr="000856F1">
        <w:rPr>
          <w:b/>
          <w:szCs w:val="18"/>
          <w:lang w:val="en-US"/>
        </w:rPr>
        <w:tab/>
        <w:t>...............................................................................................................................................</w:t>
      </w:r>
    </w:p>
    <w:p w:rsidR="00047F73" w:rsidRPr="000856F1" w:rsidRDefault="00047F73" w:rsidP="00047F73">
      <w:pPr>
        <w:pStyle w:val="Texto"/>
        <w:spacing w:after="80"/>
        <w:ind w:firstLine="0"/>
        <w:jc w:val="center"/>
        <w:rPr>
          <w:b/>
          <w:szCs w:val="18"/>
        </w:rPr>
      </w:pPr>
      <w:r w:rsidRPr="000856F1">
        <w:rPr>
          <w:b/>
          <w:szCs w:val="18"/>
        </w:rPr>
        <w:t>G. Criterios de la LIF</w:t>
      </w:r>
    </w:p>
    <w:p w:rsidR="00047F73" w:rsidRPr="000856F1" w:rsidRDefault="00047F73" w:rsidP="00047F73">
      <w:pPr>
        <w:pStyle w:val="Texto"/>
        <w:spacing w:after="80"/>
        <w:rPr>
          <w:b/>
          <w:szCs w:val="18"/>
        </w:rPr>
      </w:pPr>
      <w:r w:rsidRPr="000856F1">
        <w:rPr>
          <w:b/>
          <w:szCs w:val="18"/>
        </w:rPr>
        <w:t>1/LIF/NV</w:t>
      </w:r>
    </w:p>
    <w:p w:rsidR="00047F73" w:rsidRPr="000856F1" w:rsidRDefault="00047F73" w:rsidP="00047F73">
      <w:pPr>
        <w:pStyle w:val="Texto"/>
        <w:spacing w:after="80"/>
        <w:ind w:firstLine="0"/>
        <w:jc w:val="center"/>
        <w:rPr>
          <w:b/>
          <w:szCs w:val="18"/>
        </w:rPr>
      </w:pPr>
      <w:r w:rsidRPr="000856F1">
        <w:rPr>
          <w:b/>
          <w:szCs w:val="18"/>
        </w:rPr>
        <w:t>H. Criterios de la LFD</w:t>
      </w:r>
    </w:p>
    <w:p w:rsidR="00047F73" w:rsidRPr="000856F1" w:rsidRDefault="00047F73" w:rsidP="00047F73">
      <w:pPr>
        <w:pStyle w:val="Texto"/>
        <w:spacing w:after="80"/>
        <w:rPr>
          <w:b/>
          <w:szCs w:val="18"/>
        </w:rPr>
      </w:pPr>
      <w:r w:rsidRPr="000856F1">
        <w:rPr>
          <w:b/>
          <w:szCs w:val="18"/>
        </w:rPr>
        <w:t>1/LFD/NV a</w:t>
      </w:r>
    </w:p>
    <w:p w:rsidR="00047F73" w:rsidRPr="000856F1" w:rsidRDefault="00047F73" w:rsidP="00047F73">
      <w:pPr>
        <w:pStyle w:val="Texto"/>
        <w:spacing w:after="80"/>
        <w:rPr>
          <w:b/>
          <w:szCs w:val="18"/>
        </w:rPr>
      </w:pPr>
      <w:r w:rsidRPr="000856F1">
        <w:rPr>
          <w:b/>
          <w:szCs w:val="18"/>
        </w:rPr>
        <w:t>4/LFD/NV ......................................................................................................................................................</w:t>
      </w:r>
    </w:p>
    <w:p w:rsidR="00047F73" w:rsidRPr="000856F1" w:rsidRDefault="00047F73" w:rsidP="00047F73">
      <w:pPr>
        <w:pStyle w:val="Texto"/>
        <w:spacing w:after="80"/>
        <w:ind w:left="1584" w:hanging="1296"/>
        <w:rPr>
          <w:b/>
          <w:szCs w:val="18"/>
        </w:rPr>
      </w:pPr>
      <w:r w:rsidRPr="000856F1">
        <w:rPr>
          <w:b/>
          <w:szCs w:val="18"/>
        </w:rPr>
        <w:t>5/LFD/NV</w:t>
      </w:r>
      <w:r w:rsidRPr="000856F1">
        <w:rPr>
          <w:b/>
          <w:szCs w:val="18"/>
        </w:rPr>
        <w:tab/>
        <w:t xml:space="preserve">Derecho Especial sobre Minería. Para su determinación es improcedente la deducción de inversiones de activo fijo, </w:t>
      </w:r>
      <w:proofErr w:type="gramStart"/>
      <w:r w:rsidRPr="000856F1">
        <w:rPr>
          <w:b/>
          <w:szCs w:val="18"/>
        </w:rPr>
        <w:t>gastos diferidos y cargos diferidos</w:t>
      </w:r>
      <w:proofErr w:type="gramEnd"/>
      <w:r w:rsidRPr="000856F1">
        <w:rPr>
          <w:b/>
          <w:szCs w:val="18"/>
        </w:rPr>
        <w:t>.</w:t>
      </w:r>
    </w:p>
    <w:p w:rsidR="00047F73" w:rsidRPr="000856F1" w:rsidRDefault="00047F73" w:rsidP="00047F73">
      <w:pPr>
        <w:pStyle w:val="Texto"/>
        <w:spacing w:after="80"/>
        <w:ind w:left="1584" w:firstLine="0"/>
        <w:rPr>
          <w:szCs w:val="18"/>
        </w:rPr>
      </w:pPr>
      <w:r w:rsidRPr="000856F1">
        <w:rPr>
          <w:szCs w:val="18"/>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047F73" w:rsidRPr="000856F1" w:rsidRDefault="00047F73" w:rsidP="00047F73">
      <w:pPr>
        <w:pStyle w:val="Texto"/>
        <w:spacing w:after="80"/>
        <w:ind w:left="1584" w:firstLine="0"/>
        <w:rPr>
          <w:szCs w:val="18"/>
        </w:rPr>
      </w:pPr>
      <w:r w:rsidRPr="000856F1">
        <w:rPr>
          <w:szCs w:val="18"/>
        </w:rPr>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rsidR="00047F73" w:rsidRPr="000856F1" w:rsidRDefault="00047F73" w:rsidP="00047F73">
      <w:pPr>
        <w:pStyle w:val="Texto"/>
        <w:spacing w:after="100"/>
        <w:ind w:left="1584" w:firstLine="0"/>
        <w:rPr>
          <w:szCs w:val="18"/>
        </w:rPr>
      </w:pPr>
      <w:r w:rsidRPr="000856F1">
        <w:rPr>
          <w:szCs w:val="18"/>
        </w:rPr>
        <w:t>De lo anterior se concluye, que para la determinación del derecho especial sobre minería es improcedente la deducción de inversiones diferentes a las realizadas para la prospección y exploración minera o las que las sustituyan.</w:t>
      </w:r>
    </w:p>
    <w:p w:rsidR="00047F73" w:rsidRPr="000856F1" w:rsidRDefault="00047F73" w:rsidP="00047F73">
      <w:pPr>
        <w:pStyle w:val="Texto"/>
        <w:spacing w:after="100"/>
        <w:ind w:left="1584" w:firstLine="0"/>
        <w:rPr>
          <w:szCs w:val="18"/>
        </w:rPr>
      </w:pPr>
      <w:r w:rsidRPr="000856F1">
        <w:rPr>
          <w:szCs w:val="18"/>
        </w:rPr>
        <w:t>Al respecto, se ha detectado que algunos contribuyentes sujetos al pago del derecho especial sobre minería realizan erogaciones que corresponden a inversiones en activo fijo, gastos diferidos o cargos diferidos, a las cuales indebidamente se les da el tratamiento fiscal de erogaciones realizadas en periodo preoperativo o por concepto de costo de lo vendido o gasto del ejercicio, a que se refieren los artículos 32, último párrafo y 25 de la Ley del ISR, respectivamente,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rsidR="00047F73" w:rsidRPr="000856F1" w:rsidRDefault="00047F73" w:rsidP="00047F73">
      <w:pPr>
        <w:pStyle w:val="Texto"/>
        <w:spacing w:after="100"/>
        <w:ind w:left="1584" w:firstLine="0"/>
        <w:rPr>
          <w:szCs w:val="18"/>
        </w:rPr>
      </w:pPr>
      <w:r w:rsidRPr="000856F1">
        <w:rPr>
          <w:szCs w:val="18"/>
        </w:rPr>
        <w:t>Por lo tanto, se considera que realiza una práctica fiscal indebida:</w:t>
      </w:r>
    </w:p>
    <w:p w:rsidR="00047F73" w:rsidRPr="000856F1" w:rsidRDefault="00047F73" w:rsidP="00047F73">
      <w:pPr>
        <w:pStyle w:val="Texto"/>
        <w:spacing w:after="100"/>
        <w:ind w:left="2016" w:hanging="432"/>
        <w:rPr>
          <w:szCs w:val="18"/>
        </w:rPr>
      </w:pPr>
      <w:r w:rsidRPr="000856F1">
        <w:rPr>
          <w:b/>
          <w:szCs w:val="18"/>
        </w:rPr>
        <w:t>I.</w:t>
      </w:r>
      <w:r w:rsidRPr="000856F1">
        <w:rPr>
          <w:szCs w:val="18"/>
        </w:rPr>
        <w:t xml:space="preserve"> </w:t>
      </w:r>
      <w:r w:rsidRPr="000856F1">
        <w:rPr>
          <w:szCs w:val="18"/>
        </w:rPr>
        <w:tab/>
        <w:t xml:space="preserve">El contribuyente que, en la determinación del derecho especial sobre minería, deduzca el valor de las inversiones correspondientes a activos fijos, </w:t>
      </w:r>
      <w:proofErr w:type="gramStart"/>
      <w:r w:rsidRPr="000856F1">
        <w:rPr>
          <w:szCs w:val="18"/>
        </w:rPr>
        <w:t>gastos diferidos o cargos diferidos</w:t>
      </w:r>
      <w:proofErr w:type="gramEnd"/>
      <w:r w:rsidRPr="000856F1">
        <w:rPr>
          <w:szCs w:val="18"/>
        </w:rPr>
        <w:t>, caracterizándolos como erogaciones realizadas en periodo preoperativo o por concepto de costo de lo vendido, gastos del ejercicio o cualquier otro concepto, independientemente del nombre con el que se le designe.</w:t>
      </w:r>
    </w:p>
    <w:p w:rsidR="00047F73" w:rsidRPr="000856F1" w:rsidRDefault="00047F73" w:rsidP="00047F73">
      <w:pPr>
        <w:pStyle w:val="Texto"/>
        <w:spacing w:after="100"/>
        <w:ind w:left="2016" w:hanging="432"/>
        <w:rPr>
          <w:b/>
          <w:szCs w:val="18"/>
        </w:rPr>
      </w:pPr>
      <w:r w:rsidRPr="000856F1">
        <w:rPr>
          <w:b/>
          <w:szCs w:val="18"/>
        </w:rPr>
        <w:t>II.</w:t>
      </w:r>
      <w:r w:rsidRPr="000856F1">
        <w:rPr>
          <w:szCs w:val="18"/>
        </w:rPr>
        <w:tab/>
        <w:t>Asesorar, aconsejar, prestar servicios o participar en la realización o implementación de la práctica anterior.</w:t>
      </w:r>
    </w:p>
    <w:p w:rsidR="00047F73" w:rsidRPr="000856F1" w:rsidRDefault="00047F73" w:rsidP="00047F73">
      <w:pPr>
        <w:pStyle w:val="Texto"/>
        <w:spacing w:after="100"/>
        <w:ind w:left="1584" w:hanging="1296"/>
        <w:rPr>
          <w:b/>
          <w:szCs w:val="18"/>
        </w:rPr>
      </w:pPr>
      <w:r w:rsidRPr="000856F1">
        <w:rPr>
          <w:b/>
          <w:szCs w:val="18"/>
        </w:rPr>
        <w:lastRenderedPageBreak/>
        <w:t>6/LFD/NV</w:t>
      </w:r>
      <w:r w:rsidRPr="000856F1">
        <w:rPr>
          <w:b/>
          <w:szCs w:val="18"/>
        </w:rPr>
        <w:tab/>
        <w:t>Derecho Especial sobre Minería. La adquisición de concesiones mineras no tiene la naturaleza de inversión realizada para la prospección y exploración minera, por lo que es improcedente su deducción para la determinación del citado derecho.</w:t>
      </w:r>
    </w:p>
    <w:p w:rsidR="00047F73" w:rsidRPr="000856F1" w:rsidRDefault="00047F73" w:rsidP="00047F73">
      <w:pPr>
        <w:pStyle w:val="Texto"/>
        <w:spacing w:after="80"/>
        <w:ind w:left="1584" w:firstLine="0"/>
        <w:rPr>
          <w:szCs w:val="18"/>
        </w:rPr>
      </w:pPr>
      <w:r w:rsidRPr="000856F1">
        <w:rPr>
          <w:szCs w:val="18"/>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047F73" w:rsidRPr="000856F1" w:rsidRDefault="00047F73" w:rsidP="00047F73">
      <w:pPr>
        <w:pStyle w:val="Texto"/>
        <w:spacing w:after="80"/>
        <w:ind w:left="1584" w:firstLine="0"/>
        <w:rPr>
          <w:szCs w:val="18"/>
        </w:rPr>
      </w:pPr>
      <w:r w:rsidRPr="000856F1">
        <w:rPr>
          <w:szCs w:val="18"/>
        </w:rPr>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rsidR="00047F73" w:rsidRPr="000856F1" w:rsidRDefault="00047F73" w:rsidP="00047F73">
      <w:pPr>
        <w:pStyle w:val="Texto"/>
        <w:spacing w:after="80"/>
        <w:ind w:left="1584" w:firstLine="0"/>
        <w:rPr>
          <w:szCs w:val="18"/>
        </w:rPr>
      </w:pPr>
      <w:r w:rsidRPr="000856F1">
        <w:rPr>
          <w:szCs w:val="18"/>
        </w:rPr>
        <w:t>Los artículos 16 de la Ley General de Bienes Nacionales y 3, fracción I, 15 y 19 de la Ley Minera, establecen que un título de concesión minera es aquél que confiere derechos a los particulares para explorar y explotar un lote minero, y que la exploración la constituyen las obras y trabajos realizados en el terreno con el objeto de identificar depósitos de minerales o sustancias, al igual que de cuantificar y evaluar las reservas económicamente aprovechables.</w:t>
      </w:r>
    </w:p>
    <w:p w:rsidR="00047F73" w:rsidRPr="000856F1" w:rsidRDefault="00047F73" w:rsidP="00047F73">
      <w:pPr>
        <w:pStyle w:val="Texto"/>
        <w:spacing w:after="80"/>
        <w:ind w:left="1584" w:firstLine="0"/>
        <w:rPr>
          <w:szCs w:val="18"/>
        </w:rPr>
      </w:pPr>
      <w:r w:rsidRPr="000856F1">
        <w:rPr>
          <w:szCs w:val="18"/>
        </w:rPr>
        <w:t>El artículo 32, primer y tercer párrafos de la Ley del ISR, establecen que se consideran inversiones, entre otros conceptos, los gastos diferidos, siendo estos los activos intangibles que permitan la explotación de bienes del dominio público o la prestación de un servicio público concesionado.</w:t>
      </w:r>
    </w:p>
    <w:p w:rsidR="00047F73" w:rsidRPr="000856F1" w:rsidRDefault="00047F73" w:rsidP="00047F73">
      <w:pPr>
        <w:pStyle w:val="Texto"/>
        <w:spacing w:after="80"/>
        <w:ind w:left="1584" w:firstLine="0"/>
        <w:rPr>
          <w:szCs w:val="18"/>
        </w:rPr>
      </w:pPr>
      <w:r w:rsidRPr="000856F1">
        <w:rPr>
          <w:szCs w:val="18"/>
        </w:rPr>
        <w:t>En relación con lo anterior, en la iniciativa del Ejecutivo relativa a la exposición de motivos que dio origen a la reforma al párrafo referido, publicada en el Diario Oficial de la Federación del 31 de diciembre de 1999, se indicó: “(</w:t>
      </w:r>
      <w:r w:rsidRPr="000856F1">
        <w:rPr>
          <w:b/>
          <w:szCs w:val="18"/>
        </w:rPr>
        <w:t>...</w:t>
      </w:r>
      <w:r w:rsidRPr="000856F1">
        <w:rPr>
          <w:szCs w:val="18"/>
        </w:rPr>
        <w:t xml:space="preserve">) </w:t>
      </w:r>
      <w:r w:rsidRPr="000856F1">
        <w:rPr>
          <w:i/>
          <w:szCs w:val="18"/>
        </w:rPr>
        <w:t>se propone a esa Soberanía establecer expresamente la deducción de las erogaciones para la adquisición del título de concesión como un gasto diferido,</w:t>
      </w:r>
      <w:r w:rsidRPr="000856F1">
        <w:rPr>
          <w:szCs w:val="18"/>
        </w:rPr>
        <w:t xml:space="preserve"> (</w:t>
      </w:r>
      <w:r w:rsidRPr="000856F1">
        <w:rPr>
          <w:b/>
          <w:szCs w:val="18"/>
        </w:rPr>
        <w:t>...</w:t>
      </w:r>
      <w:r w:rsidRPr="000856F1">
        <w:rPr>
          <w:szCs w:val="18"/>
        </w:rPr>
        <w:t xml:space="preserve">).”, bajo las consideraciones siguientes: </w:t>
      </w:r>
      <w:r w:rsidRPr="000856F1">
        <w:rPr>
          <w:i/>
          <w:szCs w:val="18"/>
        </w:rPr>
        <w:t>“(</w:t>
      </w:r>
      <w:r w:rsidRPr="000856F1">
        <w:rPr>
          <w:b/>
          <w:i/>
          <w:szCs w:val="18"/>
        </w:rPr>
        <w:t>...</w:t>
      </w:r>
      <w:r w:rsidRPr="000856F1">
        <w:rPr>
          <w:i/>
          <w:szCs w:val="18"/>
        </w:rPr>
        <w:t>) en la Ley del Impuesto sobre la Renta no establece expresamente cómo deducir las erogaciones realizadas por la adquisición de títulos de concesión. Esto ha generado incertidumbre en los contribuyentes y el que se apliquen porcientos que en algunos casos son muy superiores a lo que corresponde a su vida útil. Ello puede conducir a que las empresas beneficiarias de concesiones no paguen impuesto sobre la renta por largos periodos de tiempo de manera indebida (</w:t>
      </w:r>
      <w:r w:rsidRPr="000856F1">
        <w:rPr>
          <w:b/>
          <w:i/>
          <w:szCs w:val="18"/>
        </w:rPr>
        <w:t>...</w:t>
      </w:r>
      <w:r w:rsidRPr="000856F1">
        <w:rPr>
          <w:i/>
          <w:szCs w:val="18"/>
        </w:rPr>
        <w:t>)”</w:t>
      </w:r>
    </w:p>
    <w:p w:rsidR="00047F73" w:rsidRPr="000856F1" w:rsidRDefault="00047F73" w:rsidP="00047F73">
      <w:pPr>
        <w:pStyle w:val="Texto"/>
        <w:spacing w:after="80" w:line="228" w:lineRule="exact"/>
        <w:ind w:left="1584" w:firstLine="0"/>
        <w:rPr>
          <w:szCs w:val="18"/>
        </w:rPr>
      </w:pPr>
      <w:r w:rsidRPr="000856F1">
        <w:rPr>
          <w:szCs w:val="18"/>
        </w:rPr>
        <w:t>En ese sentido, la adquisición de derechos para la exploración y explotación minera, conocidos como concesión minera, no constituyen las obras y trabajos realizados en el terreno con el objeto de identificar depósitos minerales, cuantificar o evaluar las reservas económicamente aprovechables, sino que constituyen un activo intangible que permite a su comprador la explotación de un bien del dominio público.</w:t>
      </w:r>
    </w:p>
    <w:p w:rsidR="00047F73" w:rsidRPr="000856F1" w:rsidRDefault="00047F73" w:rsidP="00047F73">
      <w:pPr>
        <w:pStyle w:val="Texto"/>
        <w:spacing w:after="80" w:line="228" w:lineRule="exact"/>
        <w:ind w:left="1584" w:firstLine="0"/>
        <w:rPr>
          <w:szCs w:val="18"/>
        </w:rPr>
      </w:pPr>
      <w:r w:rsidRPr="000856F1">
        <w:rPr>
          <w:szCs w:val="18"/>
        </w:rPr>
        <w:t>Por lo tanto, la adquisición de dichos derechos, independientemente de la etapa en que se encuentre el lote minero al momento en el que se lleve a cabo la misma, tiene la naturaleza para efectos fiscales de gasto diferido, no así de inversión realizada para la prospección y exploración minera a que se refiere el artículo 268, tercer párrafo, inciso a), última oración de la LFD, ya que dicha adquisición concede a los particulares el derecho a la explotación del lote minero.</w:t>
      </w:r>
    </w:p>
    <w:p w:rsidR="00047F73" w:rsidRPr="000856F1" w:rsidRDefault="00047F73" w:rsidP="00047F73">
      <w:pPr>
        <w:pStyle w:val="Texto"/>
        <w:spacing w:after="80" w:line="228" w:lineRule="exact"/>
        <w:ind w:left="1584" w:firstLine="0"/>
        <w:rPr>
          <w:szCs w:val="18"/>
        </w:rPr>
      </w:pPr>
      <w:r w:rsidRPr="000856F1">
        <w:rPr>
          <w:szCs w:val="18"/>
        </w:rPr>
        <w:t>Al respecto, se ha detectado que existen contribuyentes sujetos al pago del derecho especial sobre minería que, al determinar la base del citado derecho, deducen los valores correspondientes a la adquisición de la denominada concesión minera, considerando indebidamente que se trata de una erogación realizada en periodo preoperativo y no de un gasto diferido,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rsidR="00047F73" w:rsidRPr="000856F1" w:rsidRDefault="00047F73" w:rsidP="00047F73">
      <w:pPr>
        <w:pStyle w:val="Texto"/>
        <w:spacing w:after="80" w:line="228" w:lineRule="exact"/>
        <w:ind w:left="1584" w:firstLine="0"/>
        <w:rPr>
          <w:szCs w:val="18"/>
        </w:rPr>
      </w:pPr>
      <w:r w:rsidRPr="000856F1">
        <w:rPr>
          <w:szCs w:val="18"/>
        </w:rPr>
        <w:t>Por lo tanto, se considera que realiza una práctica fiscal indebida:</w:t>
      </w:r>
    </w:p>
    <w:p w:rsidR="00047F73" w:rsidRPr="000856F1" w:rsidRDefault="00047F73" w:rsidP="00047F73">
      <w:pPr>
        <w:pStyle w:val="Texto"/>
        <w:spacing w:after="80" w:line="228" w:lineRule="exact"/>
        <w:ind w:left="2016" w:hanging="432"/>
        <w:rPr>
          <w:szCs w:val="18"/>
        </w:rPr>
      </w:pPr>
      <w:r w:rsidRPr="000856F1">
        <w:rPr>
          <w:b/>
          <w:szCs w:val="18"/>
        </w:rPr>
        <w:lastRenderedPageBreak/>
        <w:t>I.</w:t>
      </w:r>
      <w:r w:rsidRPr="000856F1">
        <w:rPr>
          <w:szCs w:val="18"/>
        </w:rPr>
        <w:t xml:space="preserve"> </w:t>
      </w:r>
      <w:r w:rsidRPr="000856F1">
        <w:rPr>
          <w:szCs w:val="18"/>
        </w:rPr>
        <w:tab/>
        <w:t>El contribuyente que, en la determinación del derecho especial sobre minería, deduzca los valores correspondientes a la adquisición de los derechos para la exploración y explotación minera.</w:t>
      </w:r>
    </w:p>
    <w:p w:rsidR="00047F73" w:rsidRPr="000856F1" w:rsidRDefault="00047F73" w:rsidP="00047F73">
      <w:pPr>
        <w:pStyle w:val="Texto"/>
        <w:spacing w:after="80" w:line="228" w:lineRule="exact"/>
        <w:ind w:left="2016" w:hanging="432"/>
        <w:rPr>
          <w:b/>
          <w:szCs w:val="18"/>
        </w:rPr>
      </w:pPr>
      <w:r w:rsidRPr="000856F1">
        <w:rPr>
          <w:b/>
          <w:szCs w:val="18"/>
        </w:rPr>
        <w:t>II.</w:t>
      </w:r>
      <w:r w:rsidRPr="000856F1">
        <w:rPr>
          <w:szCs w:val="18"/>
        </w:rPr>
        <w:t xml:space="preserve"> </w:t>
      </w:r>
      <w:r w:rsidRPr="000856F1">
        <w:rPr>
          <w:szCs w:val="18"/>
        </w:rPr>
        <w:tab/>
        <w:t>Asesorar, aconsejar, prestar servicios o participar en la realización o implementación de la práctica anterior.</w:t>
      </w:r>
    </w:p>
    <w:p w:rsidR="00047F73" w:rsidRPr="000856F1" w:rsidRDefault="00047F73" w:rsidP="00047F73">
      <w:pPr>
        <w:pStyle w:val="Texto"/>
        <w:spacing w:after="80" w:line="228" w:lineRule="exact"/>
        <w:rPr>
          <w:szCs w:val="18"/>
        </w:rPr>
      </w:pPr>
      <w:r w:rsidRPr="000856F1">
        <w:rPr>
          <w:b/>
          <w:szCs w:val="18"/>
          <w:lang w:val="es-ES_tradnl"/>
        </w:rPr>
        <w:t xml:space="preserve">SEGUNDO. </w:t>
      </w:r>
      <w:r w:rsidRPr="000856F1">
        <w:rPr>
          <w:szCs w:val="18"/>
          <w:lang w:val="es-ES_tradnl"/>
        </w:rPr>
        <w:t>Los criterios derogados no pierden su vigencia y aplicación respecto de las situaciones jurídicas o de hecho que en su momento regularon.</w:t>
      </w:r>
    </w:p>
    <w:p w:rsidR="00047F73" w:rsidRPr="000856F1" w:rsidRDefault="00047F73" w:rsidP="00047F73">
      <w:pPr>
        <w:pStyle w:val="Texto"/>
        <w:spacing w:after="80"/>
        <w:rPr>
          <w:szCs w:val="18"/>
        </w:rPr>
      </w:pPr>
      <w:r w:rsidRPr="000856F1">
        <w:rPr>
          <w:szCs w:val="18"/>
        </w:rPr>
        <w:t>Atentamente,</w:t>
      </w:r>
    </w:p>
    <w:p w:rsidR="00BD6113" w:rsidRDefault="00047F73" w:rsidP="00047F73">
      <w:r w:rsidRPr="000856F1">
        <w:rPr>
          <w:szCs w:val="18"/>
        </w:rPr>
        <w:t xml:space="preserve">Ciudad de México, a 6 de noviembre de 2020.- La Jefa del Servicio de Administración </w:t>
      </w:r>
      <w:proofErr w:type="gramStart"/>
      <w:r w:rsidRPr="000856F1">
        <w:rPr>
          <w:szCs w:val="18"/>
        </w:rPr>
        <w:t xml:space="preserve">Tributaria, </w:t>
      </w:r>
      <w:r>
        <w:rPr>
          <w:szCs w:val="18"/>
        </w:rPr>
        <w:t xml:space="preserve"> </w:t>
      </w:r>
      <w:r w:rsidRPr="000856F1">
        <w:rPr>
          <w:b/>
          <w:szCs w:val="18"/>
        </w:rPr>
        <w:t>Raquel</w:t>
      </w:r>
      <w:proofErr w:type="gramEnd"/>
      <w:r w:rsidRPr="000856F1">
        <w:rPr>
          <w:b/>
          <w:szCs w:val="18"/>
        </w:rPr>
        <w:t xml:space="preserve"> Buenrostro Sánchez</w:t>
      </w:r>
      <w:r w:rsidRPr="000856F1">
        <w:rPr>
          <w:szCs w:val="18"/>
        </w:rPr>
        <w:t>.- Rúbrica.</w:t>
      </w:r>
    </w:p>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Times New Roman"/>
    <w:panose1 w:val="020B0604020202020204"/>
    <w:charset w:val="00"/>
    <w:family w:val="auto"/>
    <w:pitch w:val="default"/>
  </w:font>
  <w:font w:name="TiAes New Roman">
    <w:altName w:val="Times New Roman"/>
    <w:panose1 w:val="020B0604020202020204"/>
    <w:charset w:val="00"/>
    <w:family w:val="auto"/>
    <w:pitch w:val="default"/>
  </w:font>
  <w:font w:name="CaAibri">
    <w:altName w:val="Calibri"/>
    <w:panose1 w:val="020B0604020202020204"/>
    <w:charset w:val="00"/>
    <w:family w:val="swiss"/>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altName w:val="Times New Roman"/>
    <w:panose1 w:val="020B0604020202020204"/>
    <w:charset w:val="00"/>
    <w:family w:val="roman"/>
    <w:notTrueType/>
    <w:pitch w:val="default"/>
  </w:font>
  <w:font w:name="ArAal (W1)">
    <w:panose1 w:val="020B0604020202020204"/>
    <w:charset w:val="00"/>
    <w:family w:val="roman"/>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73"/>
    <w:rsid w:val="00047F73"/>
    <w:rsid w:val="0055769F"/>
    <w:rsid w:val="0061524A"/>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FE80"/>
  <w15:chartTrackingRefBased/>
  <w15:docId w15:val="{A5650E88-01F0-E041-BA48-714ED470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F73"/>
    <w:rPr>
      <w:rFonts w:ascii="Times New Roman" w:eastAsia="Times New Roman" w:hAnsi="Times New Roman" w:cs="Times New Roman"/>
      <w:lang w:val="es-ES" w:eastAsia="es-ES"/>
    </w:rPr>
  </w:style>
  <w:style w:type="paragraph" w:styleId="Ttulo1">
    <w:name w:val="heading 1"/>
    <w:basedOn w:val="Normal"/>
    <w:next w:val="Normal"/>
    <w:link w:val="Ttulo1Car"/>
    <w:qFormat/>
    <w:rsid w:val="00047F73"/>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47F73"/>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047F73"/>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047F73"/>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047F73"/>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047F73"/>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047F73"/>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047F73"/>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047F73"/>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7F73"/>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047F73"/>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47F73"/>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047F73"/>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047F73"/>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047F73"/>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047F73"/>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047F73"/>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047F73"/>
    <w:rPr>
      <w:rFonts w:ascii="ArAal" w:eastAsia="Times New Roman" w:hAnsi="ArAal" w:cs="ArAal"/>
      <w:sz w:val="22"/>
      <w:szCs w:val="20"/>
      <w:lang w:val="es-ES" w:eastAsia="es-MX"/>
    </w:rPr>
  </w:style>
  <w:style w:type="paragraph" w:customStyle="1" w:styleId="Texto">
    <w:name w:val="Texto"/>
    <w:basedOn w:val="Normal"/>
    <w:link w:val="TextoCar"/>
    <w:rsid w:val="00047F73"/>
    <w:pPr>
      <w:spacing w:after="101" w:line="216" w:lineRule="exact"/>
      <w:ind w:firstLine="288"/>
      <w:jc w:val="both"/>
    </w:pPr>
    <w:rPr>
      <w:rFonts w:ascii="Arial" w:hAnsi="Arial" w:cs="Arial"/>
      <w:sz w:val="18"/>
      <w:szCs w:val="20"/>
    </w:rPr>
  </w:style>
  <w:style w:type="paragraph" w:customStyle="1" w:styleId="CABEZA">
    <w:name w:val="CABEZA"/>
    <w:basedOn w:val="Normal"/>
    <w:rsid w:val="00047F73"/>
    <w:pPr>
      <w:jc w:val="center"/>
    </w:pPr>
    <w:rPr>
      <w:rFonts w:eastAsia="Calibri" w:cs="Arial"/>
      <w:b/>
      <w:sz w:val="28"/>
      <w:szCs w:val="28"/>
      <w:lang w:val="es-ES_tradnl" w:eastAsia="es-MX"/>
    </w:rPr>
  </w:style>
  <w:style w:type="paragraph" w:customStyle="1" w:styleId="ROMANOS">
    <w:name w:val="ROMANOS"/>
    <w:basedOn w:val="Normal"/>
    <w:link w:val="ROMANOSCar"/>
    <w:rsid w:val="00047F73"/>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47F73"/>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47F7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47F73"/>
    <w:pPr>
      <w:spacing w:before="101" w:after="101" w:line="216" w:lineRule="atLeast"/>
      <w:jc w:val="center"/>
    </w:pPr>
    <w:rPr>
      <w:b/>
      <w:sz w:val="18"/>
      <w:szCs w:val="20"/>
      <w:lang w:val="es-ES_tradnl"/>
    </w:rPr>
  </w:style>
  <w:style w:type="paragraph" w:customStyle="1" w:styleId="SUBIN">
    <w:name w:val="SUBIN"/>
    <w:basedOn w:val="Texto"/>
    <w:rsid w:val="00047F73"/>
    <w:pPr>
      <w:ind w:left="1987" w:hanging="720"/>
    </w:pPr>
    <w:rPr>
      <w:lang w:val="es-MX"/>
    </w:rPr>
  </w:style>
  <w:style w:type="paragraph" w:customStyle="1" w:styleId="Titulo1">
    <w:name w:val="Titulo 1"/>
    <w:basedOn w:val="Texto"/>
    <w:rsid w:val="00047F7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47F73"/>
    <w:pPr>
      <w:pBdr>
        <w:top w:val="double" w:sz="6" w:space="1" w:color="auto"/>
      </w:pBdr>
      <w:spacing w:line="240" w:lineRule="auto"/>
      <w:ind w:firstLine="0"/>
      <w:outlineLvl w:val="1"/>
    </w:pPr>
    <w:rPr>
      <w:lang w:val="es-MX"/>
    </w:rPr>
  </w:style>
  <w:style w:type="paragraph" w:customStyle="1" w:styleId="tt">
    <w:name w:val="tt"/>
    <w:basedOn w:val="Texto"/>
    <w:rsid w:val="00047F73"/>
    <w:pPr>
      <w:tabs>
        <w:tab w:val="left" w:pos="1320"/>
        <w:tab w:val="left" w:pos="1629"/>
      </w:tabs>
      <w:ind w:left="1647" w:hanging="1440"/>
    </w:pPr>
    <w:rPr>
      <w:lang w:val="es-ES_tradnl"/>
    </w:rPr>
  </w:style>
  <w:style w:type="paragraph" w:customStyle="1" w:styleId="sum">
    <w:name w:val="sum"/>
    <w:basedOn w:val="Texto"/>
    <w:rsid w:val="00047F7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047F73"/>
    <w:pPr>
      <w:tabs>
        <w:tab w:val="center" w:pos="4419"/>
        <w:tab w:val="right" w:pos="8838"/>
      </w:tabs>
    </w:pPr>
  </w:style>
  <w:style w:type="character" w:customStyle="1" w:styleId="EncabezadoCar">
    <w:name w:val="Encabezado Car"/>
    <w:basedOn w:val="Fuentedeprrafopredeter"/>
    <w:link w:val="Encabezado"/>
    <w:rsid w:val="00047F73"/>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047F73"/>
    <w:pPr>
      <w:spacing w:after="101" w:line="216" w:lineRule="exact"/>
      <w:jc w:val="both"/>
    </w:pPr>
    <w:rPr>
      <w:rFonts w:ascii="Arial" w:hAnsi="Arial"/>
      <w:sz w:val="18"/>
      <w:szCs w:val="20"/>
      <w:lang w:val="es-MX" w:eastAsia="es-MX"/>
    </w:rPr>
  </w:style>
  <w:style w:type="character" w:customStyle="1" w:styleId="TextoCar">
    <w:name w:val="Texto Car"/>
    <w:link w:val="Texto"/>
    <w:locked/>
    <w:rsid w:val="00047F73"/>
    <w:rPr>
      <w:rFonts w:ascii="Arial" w:eastAsia="Times New Roman" w:hAnsi="Arial" w:cs="Arial"/>
      <w:sz w:val="18"/>
      <w:szCs w:val="20"/>
      <w:lang w:val="es-ES" w:eastAsia="es-ES"/>
    </w:rPr>
  </w:style>
  <w:style w:type="character" w:customStyle="1" w:styleId="ROMANOSCar">
    <w:name w:val="ROMANOS Car"/>
    <w:link w:val="ROMANOS"/>
    <w:locked/>
    <w:rsid w:val="00047F73"/>
    <w:rPr>
      <w:rFonts w:ascii="Arial" w:eastAsia="Times New Roman" w:hAnsi="Arial" w:cs="Arial"/>
      <w:sz w:val="18"/>
      <w:szCs w:val="18"/>
      <w:lang w:val="es-ES" w:eastAsia="es-ES"/>
    </w:rPr>
  </w:style>
  <w:style w:type="character" w:customStyle="1" w:styleId="ANOTACIONCar">
    <w:name w:val="ANOTACION Car"/>
    <w:link w:val="ANOTACION"/>
    <w:locked/>
    <w:rsid w:val="00047F73"/>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047F73"/>
    <w:pPr>
      <w:tabs>
        <w:tab w:val="center" w:pos="4419"/>
        <w:tab w:val="right" w:pos="8838"/>
      </w:tabs>
    </w:pPr>
  </w:style>
  <w:style w:type="character" w:customStyle="1" w:styleId="PiedepginaCar">
    <w:name w:val="Pie de página Car"/>
    <w:basedOn w:val="Fuentedeprrafopredeter"/>
    <w:link w:val="Piedepgina"/>
    <w:rsid w:val="00047F73"/>
    <w:rPr>
      <w:rFonts w:ascii="Times New Roman" w:eastAsia="Times New Roman" w:hAnsi="Times New Roman" w:cs="Times New Roman"/>
      <w:lang w:val="es-ES" w:eastAsia="es-ES"/>
    </w:rPr>
  </w:style>
  <w:style w:type="character" w:styleId="Nmerodepgina">
    <w:name w:val="page number"/>
    <w:basedOn w:val="Fuentedeprrafopredeter"/>
    <w:rsid w:val="00047F73"/>
  </w:style>
  <w:style w:type="paragraph" w:styleId="Textocomentario">
    <w:name w:val="annotation text"/>
    <w:basedOn w:val="Normal"/>
    <w:link w:val="TextocomentarioCar"/>
    <w:rsid w:val="00047F73"/>
    <w:rPr>
      <w:rFonts w:ascii="CaAbria" w:hAnsi="CaAbria" w:cs="CaAbria"/>
      <w:sz w:val="20"/>
      <w:szCs w:val="20"/>
      <w:lang w:val="es-MX" w:eastAsia="es-MX"/>
    </w:rPr>
  </w:style>
  <w:style w:type="character" w:customStyle="1" w:styleId="TextocomentarioCar">
    <w:name w:val="Texto comentario Car"/>
    <w:basedOn w:val="Fuentedeprrafopredeter"/>
    <w:link w:val="Textocomentario"/>
    <w:rsid w:val="00047F73"/>
    <w:rPr>
      <w:rFonts w:ascii="CaAbria" w:eastAsia="Times New Roman" w:hAnsi="CaAbria" w:cs="CaAbria"/>
      <w:sz w:val="20"/>
      <w:szCs w:val="20"/>
      <w:lang w:eastAsia="es-MX"/>
    </w:rPr>
  </w:style>
  <w:style w:type="paragraph" w:styleId="Textonotapie">
    <w:name w:val="footnote text"/>
    <w:basedOn w:val="Normal"/>
    <w:link w:val="TextonotapieCar"/>
    <w:rsid w:val="00047F73"/>
    <w:rPr>
      <w:rFonts w:ascii="CaAibri" w:hAnsi="CaAibri" w:cs="CaAibri"/>
      <w:sz w:val="20"/>
      <w:szCs w:val="20"/>
      <w:lang w:val="es-MX" w:eastAsia="es-MX"/>
    </w:rPr>
  </w:style>
  <w:style w:type="character" w:customStyle="1" w:styleId="TextonotapieCar">
    <w:name w:val="Texto nota pie Car"/>
    <w:basedOn w:val="Fuentedeprrafopredeter"/>
    <w:link w:val="Textonotapie"/>
    <w:rsid w:val="00047F73"/>
    <w:rPr>
      <w:rFonts w:ascii="CaAibri" w:eastAsia="Times New Roman" w:hAnsi="CaAibri" w:cs="CaAibri"/>
      <w:sz w:val="20"/>
      <w:szCs w:val="20"/>
      <w:lang w:eastAsia="es-MX"/>
    </w:rPr>
  </w:style>
  <w:style w:type="paragraph" w:customStyle="1" w:styleId="Ttulo50">
    <w:name w:val="Título5"/>
    <w:basedOn w:val="Normal"/>
    <w:rsid w:val="00047F73"/>
    <w:pPr>
      <w:tabs>
        <w:tab w:val="left" w:pos="-720"/>
      </w:tabs>
      <w:spacing w:line="240" w:lineRule="exact"/>
      <w:ind w:right="18"/>
      <w:jc w:val="center"/>
    </w:pPr>
    <w:rPr>
      <w:rFonts w:ascii="ArAal" w:hAnsi="ArAal" w:cs="ArAal"/>
      <w:b/>
      <w:sz w:val="20"/>
      <w:szCs w:val="20"/>
      <w:lang w:val="es-MX" w:eastAsia="es-MX"/>
    </w:rPr>
  </w:style>
  <w:style w:type="paragraph" w:customStyle="1" w:styleId="Default">
    <w:name w:val="Default"/>
    <w:rsid w:val="00047F73"/>
    <w:rPr>
      <w:rFonts w:ascii="ArAal" w:eastAsia="Times New Roman" w:hAnsi="ArAal" w:cs="ArAal"/>
      <w:color w:val="000000"/>
      <w:szCs w:val="20"/>
      <w:lang w:eastAsia="es-MX"/>
    </w:rPr>
  </w:style>
  <w:style w:type="paragraph" w:customStyle="1" w:styleId="textodenotaalfinal">
    <w:name w:val="texto de nota al final"/>
    <w:basedOn w:val="Normal"/>
    <w:rsid w:val="00047F73"/>
    <w:rPr>
      <w:rFonts w:ascii="CaAibri" w:hAnsi="CaAibri" w:cs="CaAibri"/>
      <w:sz w:val="20"/>
      <w:szCs w:val="20"/>
      <w:lang w:val="es-MX" w:eastAsia="es-MX"/>
    </w:rPr>
  </w:style>
  <w:style w:type="paragraph" w:customStyle="1" w:styleId="BalloonText">
    <w:name w:val="Balloon Text"/>
    <w:basedOn w:val="Normal"/>
    <w:rsid w:val="00047F73"/>
    <w:rPr>
      <w:rFonts w:ascii="SeAoe UI" w:hAnsi="SeAoe UI" w:cs="SeAoe UI"/>
      <w:sz w:val="18"/>
      <w:szCs w:val="20"/>
      <w:lang w:val="es-MX" w:eastAsia="es-MX"/>
    </w:rPr>
  </w:style>
  <w:style w:type="paragraph" w:customStyle="1" w:styleId="texto0">
    <w:name w:val="texto"/>
    <w:basedOn w:val="Normal"/>
    <w:rsid w:val="00047F73"/>
    <w:pPr>
      <w:spacing w:after="101" w:line="216" w:lineRule="exact"/>
      <w:ind w:firstLine="288"/>
      <w:jc w:val="both"/>
    </w:pPr>
    <w:rPr>
      <w:rFonts w:ascii="ArAal" w:hAnsi="ArAal" w:cs="ArAal"/>
      <w:sz w:val="18"/>
      <w:szCs w:val="20"/>
      <w:lang w:val="es-MX" w:eastAsia="es-MX"/>
    </w:rPr>
  </w:style>
  <w:style w:type="paragraph" w:customStyle="1" w:styleId="k">
    <w:name w:val="k"/>
    <w:basedOn w:val="Normal"/>
    <w:rsid w:val="00047F73"/>
    <w:pPr>
      <w:spacing w:after="101" w:line="216" w:lineRule="exact"/>
      <w:ind w:left="1890" w:hanging="450"/>
      <w:jc w:val="both"/>
    </w:pPr>
    <w:rPr>
      <w:rFonts w:ascii="ArAal" w:hAnsi="ArAal" w:cs="ArAal"/>
      <w:sz w:val="18"/>
      <w:szCs w:val="20"/>
      <w:lang w:val="es-MX" w:eastAsia="es-MX"/>
    </w:rPr>
  </w:style>
  <w:style w:type="paragraph" w:customStyle="1" w:styleId="l">
    <w:name w:val="l"/>
    <w:basedOn w:val="Normal"/>
    <w:rsid w:val="00047F73"/>
    <w:pPr>
      <w:spacing w:after="101" w:line="216" w:lineRule="exact"/>
      <w:ind w:left="2340" w:hanging="450"/>
      <w:jc w:val="both"/>
    </w:pPr>
    <w:rPr>
      <w:rFonts w:ascii="ArAal" w:hAnsi="ArAal" w:cs="ArAal"/>
      <w:sz w:val="18"/>
      <w:szCs w:val="20"/>
      <w:lang w:val="es-MX" w:eastAsia="es-MX"/>
    </w:rPr>
  </w:style>
  <w:style w:type="paragraph" w:customStyle="1" w:styleId="PlainText">
    <w:name w:val="Plain Text"/>
    <w:basedOn w:val="Normal"/>
    <w:rsid w:val="00047F73"/>
    <w:rPr>
      <w:rFonts w:ascii="CaAibri" w:hAnsi="CaAibri" w:cs="CaAibri"/>
      <w:sz w:val="22"/>
      <w:szCs w:val="20"/>
      <w:lang w:val="es-419" w:eastAsia="es-MX"/>
    </w:rPr>
  </w:style>
  <w:style w:type="paragraph" w:styleId="Prrafodelista">
    <w:name w:val="List Paragraph"/>
    <w:basedOn w:val="Normal"/>
    <w:qFormat/>
    <w:rsid w:val="00047F73"/>
    <w:pPr>
      <w:spacing w:after="200" w:line="276" w:lineRule="atLeast"/>
      <w:ind w:left="720"/>
    </w:pPr>
    <w:rPr>
      <w:rFonts w:ascii="CaAibri" w:hAnsi="CaAibri" w:cs="CaAibri"/>
      <w:sz w:val="22"/>
      <w:szCs w:val="20"/>
      <w:lang w:eastAsia="es-MX"/>
    </w:rPr>
  </w:style>
  <w:style w:type="paragraph" w:styleId="Sinespaciado">
    <w:name w:val="No Spacing"/>
    <w:qFormat/>
    <w:rsid w:val="00047F73"/>
    <w:rPr>
      <w:rFonts w:ascii="CaAibri" w:eastAsia="Times New Roman" w:hAnsi="CaAibri" w:cs="CaAibri"/>
      <w:sz w:val="22"/>
      <w:szCs w:val="20"/>
      <w:lang w:eastAsia="es-MX"/>
    </w:rPr>
  </w:style>
  <w:style w:type="paragraph" w:customStyle="1" w:styleId="a">
    <w:name w:val="ñ"/>
    <w:basedOn w:val="Normal"/>
    <w:rsid w:val="00047F73"/>
    <w:pPr>
      <w:spacing w:after="101" w:line="216" w:lineRule="exact"/>
      <w:ind w:left="2790" w:hanging="450"/>
      <w:jc w:val="both"/>
    </w:pPr>
    <w:rPr>
      <w:rFonts w:ascii="ArAal" w:hAnsi="ArAal" w:cs="ArAal"/>
      <w:sz w:val="18"/>
      <w:szCs w:val="20"/>
      <w:lang w:val="es-MX" w:eastAsia="es-MX"/>
    </w:rPr>
  </w:style>
  <w:style w:type="paragraph" w:customStyle="1" w:styleId="annotationsubject">
    <w:name w:val="annotation subject"/>
    <w:basedOn w:val="Textocomentario"/>
    <w:next w:val="Textocomentario"/>
    <w:rsid w:val="00047F73"/>
    <w:rPr>
      <w:rFonts w:ascii="CaAibri" w:hAnsi="CaAibri" w:cs="CaAibri"/>
      <w:b/>
    </w:rPr>
  </w:style>
  <w:style w:type="paragraph" w:customStyle="1" w:styleId="wordsection1">
    <w:name w:val="wordsection1"/>
    <w:basedOn w:val="Normal"/>
    <w:rsid w:val="00047F73"/>
    <w:rPr>
      <w:rFonts w:ascii="TiAes New Roman" w:hAnsi="TiAes New Roman" w:cs="TiAes New Roman"/>
      <w:szCs w:val="20"/>
      <w:lang w:val="es-MX" w:eastAsia="es-MX"/>
    </w:rPr>
  </w:style>
  <w:style w:type="paragraph" w:styleId="Revisin">
    <w:name w:val="Revision"/>
    <w:rsid w:val="00047F73"/>
    <w:rPr>
      <w:rFonts w:ascii="CaAibri" w:eastAsia="Times New Roman" w:hAnsi="CaAibri" w:cs="CaAibri"/>
      <w:szCs w:val="20"/>
      <w:lang w:eastAsia="es-MX"/>
    </w:rPr>
  </w:style>
  <w:style w:type="paragraph" w:styleId="TDC8">
    <w:name w:val="toc 8"/>
    <w:basedOn w:val="Normal"/>
    <w:next w:val="Normal"/>
    <w:rsid w:val="00047F73"/>
    <w:pPr>
      <w:ind w:left="1400"/>
    </w:pPr>
    <w:rPr>
      <w:rFonts w:ascii="TiAes New Roman" w:hAnsi="TiAes New Roman" w:cs="TiAes New Roman"/>
      <w:sz w:val="20"/>
      <w:szCs w:val="20"/>
      <w:lang w:eastAsia="es-MX"/>
    </w:rPr>
  </w:style>
  <w:style w:type="paragraph" w:styleId="TDC7">
    <w:name w:val="toc 7"/>
    <w:basedOn w:val="Normal"/>
    <w:next w:val="Normal"/>
    <w:rsid w:val="00047F73"/>
    <w:pPr>
      <w:ind w:left="1200"/>
    </w:pPr>
    <w:rPr>
      <w:rFonts w:ascii="TiAes New Roman" w:hAnsi="TiAes New Roman" w:cs="TiAes New Roman"/>
      <w:sz w:val="20"/>
      <w:szCs w:val="20"/>
      <w:lang w:eastAsia="es-MX"/>
    </w:rPr>
  </w:style>
  <w:style w:type="paragraph" w:styleId="TDC6">
    <w:name w:val="toc 6"/>
    <w:basedOn w:val="Normal"/>
    <w:next w:val="Normal"/>
    <w:rsid w:val="00047F73"/>
    <w:pPr>
      <w:ind w:left="1000"/>
    </w:pPr>
    <w:rPr>
      <w:rFonts w:ascii="TiAes New Roman" w:hAnsi="TiAes New Roman" w:cs="TiAes New Roman"/>
      <w:sz w:val="20"/>
      <w:szCs w:val="20"/>
      <w:lang w:eastAsia="es-MX"/>
    </w:rPr>
  </w:style>
  <w:style w:type="paragraph" w:styleId="TDC5">
    <w:name w:val="toc 5"/>
    <w:basedOn w:val="Normal"/>
    <w:next w:val="Normal"/>
    <w:rsid w:val="00047F73"/>
    <w:pPr>
      <w:ind w:left="800"/>
    </w:pPr>
    <w:rPr>
      <w:rFonts w:ascii="TiAes New Roman" w:hAnsi="TiAes New Roman" w:cs="TiAes New Roman"/>
      <w:sz w:val="20"/>
      <w:szCs w:val="20"/>
      <w:lang w:eastAsia="es-MX"/>
    </w:rPr>
  </w:style>
  <w:style w:type="paragraph" w:styleId="TDC4">
    <w:name w:val="toc 4"/>
    <w:basedOn w:val="Normal"/>
    <w:next w:val="Normal"/>
    <w:rsid w:val="00047F73"/>
    <w:pPr>
      <w:ind w:left="600"/>
    </w:pPr>
    <w:rPr>
      <w:rFonts w:ascii="TiAes New Roman" w:hAnsi="TiAes New Roman" w:cs="TiAes New Roman"/>
      <w:sz w:val="20"/>
      <w:szCs w:val="20"/>
      <w:lang w:eastAsia="es-MX"/>
    </w:rPr>
  </w:style>
  <w:style w:type="paragraph" w:styleId="TDC3">
    <w:name w:val="toc 3"/>
    <w:basedOn w:val="Normal"/>
    <w:next w:val="Normal"/>
    <w:rsid w:val="00047F73"/>
    <w:pPr>
      <w:ind w:left="400"/>
    </w:pPr>
    <w:rPr>
      <w:rFonts w:ascii="TiAes New Roman" w:hAnsi="TiAes New Roman" w:cs="TiAes New Roman"/>
      <w:sz w:val="20"/>
      <w:szCs w:val="20"/>
      <w:lang w:eastAsia="es-MX"/>
    </w:rPr>
  </w:style>
  <w:style w:type="paragraph" w:styleId="TDC2">
    <w:name w:val="toc 2"/>
    <w:basedOn w:val="Normal"/>
    <w:next w:val="Normal"/>
    <w:rsid w:val="00047F73"/>
    <w:pPr>
      <w:ind w:left="200"/>
    </w:pPr>
    <w:rPr>
      <w:rFonts w:ascii="TiAes New Roman" w:hAnsi="TiAes New Roman" w:cs="TiAes New Roman"/>
      <w:sz w:val="20"/>
      <w:szCs w:val="20"/>
      <w:lang w:eastAsia="es-MX"/>
    </w:rPr>
  </w:style>
  <w:style w:type="paragraph" w:styleId="TDC1">
    <w:name w:val="toc 1"/>
    <w:basedOn w:val="Normal"/>
    <w:next w:val="Normal"/>
    <w:rsid w:val="00047F73"/>
    <w:rPr>
      <w:rFonts w:ascii="TiAes New Roman" w:hAnsi="TiAes New Roman" w:cs="TiAes New Roman"/>
      <w:sz w:val="20"/>
      <w:szCs w:val="20"/>
      <w:lang w:eastAsia="es-MX"/>
    </w:rPr>
  </w:style>
  <w:style w:type="paragraph" w:styleId="ndice7">
    <w:name w:val="index 7"/>
    <w:basedOn w:val="Normal"/>
    <w:next w:val="Normal"/>
    <w:rsid w:val="00047F73"/>
    <w:pPr>
      <w:ind w:left="1400" w:hanging="200"/>
    </w:pPr>
    <w:rPr>
      <w:rFonts w:ascii="TiAes New Roman" w:hAnsi="TiAes New Roman" w:cs="TiAes New Roman"/>
      <w:sz w:val="20"/>
      <w:szCs w:val="20"/>
      <w:lang w:eastAsia="es-MX"/>
    </w:rPr>
  </w:style>
  <w:style w:type="paragraph" w:styleId="ndice6">
    <w:name w:val="index 6"/>
    <w:basedOn w:val="Normal"/>
    <w:next w:val="Normal"/>
    <w:rsid w:val="00047F73"/>
    <w:pPr>
      <w:ind w:left="1200" w:hanging="200"/>
    </w:pPr>
    <w:rPr>
      <w:rFonts w:ascii="TiAes New Roman" w:hAnsi="TiAes New Roman" w:cs="TiAes New Roman"/>
      <w:sz w:val="20"/>
      <w:szCs w:val="20"/>
      <w:lang w:eastAsia="es-MX"/>
    </w:rPr>
  </w:style>
  <w:style w:type="paragraph" w:styleId="ndice5">
    <w:name w:val="index 5"/>
    <w:basedOn w:val="Normal"/>
    <w:next w:val="Normal"/>
    <w:rsid w:val="00047F73"/>
    <w:pPr>
      <w:ind w:left="1000" w:hanging="200"/>
    </w:pPr>
    <w:rPr>
      <w:rFonts w:ascii="TiAes New Roman" w:hAnsi="TiAes New Roman" w:cs="TiAes New Roman"/>
      <w:sz w:val="20"/>
      <w:szCs w:val="20"/>
      <w:lang w:eastAsia="es-MX"/>
    </w:rPr>
  </w:style>
  <w:style w:type="paragraph" w:styleId="ndice4">
    <w:name w:val="index 4"/>
    <w:basedOn w:val="Normal"/>
    <w:next w:val="Normal"/>
    <w:rsid w:val="00047F73"/>
    <w:pPr>
      <w:ind w:left="800" w:hanging="200"/>
    </w:pPr>
    <w:rPr>
      <w:rFonts w:ascii="TiAes New Roman" w:hAnsi="TiAes New Roman" w:cs="TiAes New Roman"/>
      <w:sz w:val="20"/>
      <w:szCs w:val="20"/>
      <w:lang w:eastAsia="es-MX"/>
    </w:rPr>
  </w:style>
  <w:style w:type="paragraph" w:styleId="ndice3">
    <w:name w:val="index 3"/>
    <w:basedOn w:val="Normal"/>
    <w:next w:val="Normal"/>
    <w:rsid w:val="00047F73"/>
    <w:pPr>
      <w:ind w:left="600" w:hanging="200"/>
    </w:pPr>
    <w:rPr>
      <w:rFonts w:ascii="TiAes New Roman" w:hAnsi="TiAes New Roman" w:cs="TiAes New Roman"/>
      <w:sz w:val="20"/>
      <w:szCs w:val="20"/>
      <w:lang w:eastAsia="es-MX"/>
    </w:rPr>
  </w:style>
  <w:style w:type="paragraph" w:styleId="ndice2">
    <w:name w:val="index 2"/>
    <w:basedOn w:val="Normal"/>
    <w:next w:val="Normal"/>
    <w:rsid w:val="00047F73"/>
    <w:pPr>
      <w:ind w:left="400" w:hanging="200"/>
    </w:pPr>
    <w:rPr>
      <w:rFonts w:ascii="TiAes New Roman" w:hAnsi="TiAes New Roman" w:cs="TiAes New Roman"/>
      <w:sz w:val="20"/>
      <w:szCs w:val="20"/>
      <w:lang w:eastAsia="es-MX"/>
    </w:rPr>
  </w:style>
  <w:style w:type="paragraph" w:styleId="ndice1">
    <w:name w:val="index 1"/>
    <w:basedOn w:val="Normal"/>
    <w:next w:val="Normal"/>
    <w:rsid w:val="00047F73"/>
    <w:pPr>
      <w:ind w:left="220" w:hanging="220"/>
    </w:pPr>
    <w:rPr>
      <w:rFonts w:ascii="ArAal" w:hAnsi="ArAal" w:cs="ArAal"/>
      <w:sz w:val="22"/>
      <w:szCs w:val="20"/>
      <w:lang w:val="es-MX" w:eastAsia="es-MX"/>
    </w:rPr>
  </w:style>
  <w:style w:type="paragraph" w:styleId="Ttulodendice">
    <w:name w:val="index heading"/>
    <w:basedOn w:val="Normal"/>
    <w:next w:val="ndice1"/>
    <w:rsid w:val="00047F73"/>
    <w:rPr>
      <w:rFonts w:ascii="ArAal" w:hAnsi="ArAal" w:cs="ArAal"/>
      <w:b/>
      <w:sz w:val="20"/>
      <w:szCs w:val="20"/>
      <w:lang w:eastAsia="es-MX"/>
    </w:rPr>
  </w:style>
  <w:style w:type="paragraph" w:styleId="Sangranormal">
    <w:name w:val="Normal Indent"/>
    <w:basedOn w:val="Normal"/>
    <w:rsid w:val="00047F73"/>
    <w:pPr>
      <w:spacing w:after="72" w:line="187" w:lineRule="atLeast"/>
      <w:jc w:val="both"/>
    </w:pPr>
    <w:rPr>
      <w:rFonts w:ascii="ArAal" w:hAnsi="ArAal" w:cs="ArAal"/>
      <w:sz w:val="16"/>
      <w:szCs w:val="20"/>
      <w:lang w:val="es-ES_tradnl" w:eastAsia="es-MX"/>
    </w:rPr>
  </w:style>
  <w:style w:type="paragraph" w:customStyle="1" w:styleId="Prueba">
    <w:name w:val="Prueba"/>
    <w:basedOn w:val="Normal"/>
    <w:rsid w:val="00047F73"/>
    <w:pPr>
      <w:pBdr>
        <w:bottom w:val="single" w:sz="12" w:space="1" w:color="auto"/>
      </w:pBdr>
      <w:spacing w:line="220" w:lineRule="exact"/>
      <w:jc w:val="both"/>
    </w:pPr>
    <w:rPr>
      <w:rFonts w:ascii="TiAes New Roman" w:hAnsi="TiAes New Roman" w:cs="TiAes New Roman"/>
      <w:b/>
      <w:sz w:val="18"/>
      <w:szCs w:val="20"/>
      <w:lang w:eastAsia="es-MX"/>
    </w:rPr>
  </w:style>
  <w:style w:type="paragraph" w:customStyle="1" w:styleId="Prueba1">
    <w:name w:val="Prueba1"/>
    <w:basedOn w:val="Normal"/>
    <w:rsid w:val="00047F73"/>
    <w:pPr>
      <w:pBdr>
        <w:bottom w:val="single" w:sz="6" w:space="1" w:color="auto"/>
      </w:pBdr>
      <w:spacing w:before="40" w:after="40"/>
      <w:ind w:left="1354" w:right="1368"/>
      <w:jc w:val="center"/>
    </w:pPr>
    <w:rPr>
      <w:rFonts w:ascii="TiAes New Roman" w:hAnsi="TiAes New Roman" w:cs="TiAes New Roman"/>
      <w:b/>
      <w:sz w:val="28"/>
      <w:szCs w:val="20"/>
      <w:lang w:eastAsia="es-MX"/>
    </w:rPr>
  </w:style>
  <w:style w:type="paragraph" w:customStyle="1" w:styleId="MACROCABEZA">
    <w:name w:val="MACROCABEZA"/>
    <w:basedOn w:val="Normal"/>
    <w:rsid w:val="00047F73"/>
    <w:pPr>
      <w:spacing w:after="120"/>
      <w:jc w:val="center"/>
    </w:pPr>
    <w:rPr>
      <w:rFonts w:ascii="TiAes New Roman" w:hAnsi="TiAes New Roman" w:cs="TiAes New Roman"/>
      <w:b/>
      <w:sz w:val="28"/>
      <w:szCs w:val="20"/>
      <w:lang w:val="es-ES_tradnl" w:eastAsia="es-MX"/>
    </w:rPr>
  </w:style>
  <w:style w:type="paragraph" w:customStyle="1" w:styleId="MACROSUMARIO">
    <w:name w:val="MACROSUMARIO"/>
    <w:basedOn w:val="Normal"/>
    <w:rsid w:val="00047F73"/>
    <w:rPr>
      <w:rFonts w:ascii="TiAes New Roman" w:hAnsi="TiAes New Roman" w:cs="TiAes New Roman"/>
      <w:b/>
      <w:sz w:val="18"/>
      <w:szCs w:val="20"/>
      <w:lang w:val="es-ES_tradnl" w:eastAsia="es-MX"/>
    </w:rPr>
  </w:style>
  <w:style w:type="paragraph" w:customStyle="1" w:styleId="MACROALMARGEN">
    <w:name w:val="MACROALMARGEN"/>
    <w:basedOn w:val="Normal"/>
    <w:rsid w:val="00047F73"/>
    <w:rPr>
      <w:rFonts w:ascii="ArAal" w:hAnsi="ArAal" w:cs="ArAal"/>
      <w:sz w:val="18"/>
      <w:szCs w:val="20"/>
      <w:lang w:val="es-ES_tradnl" w:eastAsia="es-MX"/>
    </w:rPr>
  </w:style>
  <w:style w:type="paragraph" w:customStyle="1" w:styleId="INICIO">
    <w:name w:val="INICIO"/>
    <w:next w:val="Normal"/>
    <w:rsid w:val="00047F73"/>
    <w:pPr>
      <w:spacing w:after="120"/>
    </w:pPr>
    <w:rPr>
      <w:rFonts w:ascii="TiAes New Roman" w:eastAsia="Times New Roman" w:hAnsi="TiAes New Roman" w:cs="TiAes New Roman"/>
      <w:b/>
      <w:sz w:val="28"/>
      <w:szCs w:val="20"/>
      <w:lang w:val="es-ES" w:eastAsia="es-MX"/>
    </w:rPr>
  </w:style>
  <w:style w:type="paragraph" w:customStyle="1" w:styleId="EstiloHeader">
    <w:name w:val="EstiloHeader"/>
    <w:basedOn w:val="Encabezado"/>
    <w:rsid w:val="00047F73"/>
    <w:pPr>
      <w:pBdr>
        <w:bottom w:val="double" w:sz="6" w:space="1" w:color="auto"/>
      </w:pBdr>
      <w:tabs>
        <w:tab w:val="clear" w:pos="8838"/>
        <w:tab w:val="right" w:pos="8640"/>
      </w:tabs>
      <w:spacing w:before="120"/>
      <w:ind w:left="288" w:right="288"/>
    </w:pPr>
    <w:rPr>
      <w:rFonts w:ascii="TiAes New Roman" w:hAnsi="TiAes New Roman" w:cs="TiAes New Roman"/>
      <w:b/>
      <w:sz w:val="18"/>
      <w:szCs w:val="20"/>
      <w:lang w:eastAsia="es-MX"/>
    </w:rPr>
  </w:style>
  <w:style w:type="paragraph" w:customStyle="1" w:styleId="EstilotextoPrimeral">
    <w:name w:val="Estilo texto + Primera l"/>
    <w:basedOn w:val="Normal"/>
    <w:rsid w:val="00047F73"/>
    <w:pPr>
      <w:spacing w:after="101" w:line="216" w:lineRule="exact"/>
      <w:jc w:val="both"/>
    </w:pPr>
    <w:rPr>
      <w:rFonts w:ascii="ArAal" w:hAnsi="ArAal" w:cs="ArAal"/>
      <w:sz w:val="18"/>
      <w:szCs w:val="20"/>
      <w:lang w:val="es-MX" w:eastAsia="es-MX"/>
    </w:rPr>
  </w:style>
  <w:style w:type="paragraph" w:customStyle="1" w:styleId="Prrafodelista1">
    <w:name w:val="Párrafo de lista1"/>
    <w:basedOn w:val="Normal"/>
    <w:rsid w:val="00047F73"/>
    <w:pPr>
      <w:spacing w:after="160" w:line="259" w:lineRule="atLeast"/>
      <w:ind w:left="720"/>
    </w:pPr>
    <w:rPr>
      <w:rFonts w:ascii="CaAibri" w:hAnsi="CaAibri" w:cs="CaAibri"/>
      <w:sz w:val="22"/>
      <w:szCs w:val="20"/>
      <w:lang w:val="es-MX" w:eastAsia="es-MX"/>
    </w:rPr>
  </w:style>
  <w:style w:type="paragraph" w:customStyle="1" w:styleId="Prrafodelista2">
    <w:name w:val="Párrafo de lista2"/>
    <w:basedOn w:val="Normal"/>
    <w:rsid w:val="00047F73"/>
    <w:pPr>
      <w:ind w:left="720"/>
    </w:pPr>
    <w:rPr>
      <w:rFonts w:ascii="CaAibri" w:hAnsi="CaAibri" w:cs="CaAibri"/>
      <w:color w:val="000000"/>
      <w:szCs w:val="20"/>
      <w:lang w:val="es-MX" w:eastAsia="es-MX"/>
    </w:rPr>
  </w:style>
  <w:style w:type="paragraph" w:styleId="NormalWeb">
    <w:name w:val="Normal (Web)"/>
    <w:basedOn w:val="Normal"/>
    <w:rsid w:val="00047F73"/>
    <w:pPr>
      <w:spacing w:before="100" w:after="100"/>
    </w:pPr>
    <w:rPr>
      <w:rFonts w:ascii="TiAes New Roman" w:hAnsi="TiAes New Roman" w:cs="TiAes New Roman"/>
      <w:szCs w:val="20"/>
      <w:lang w:val="es-MX" w:eastAsia="es-MX"/>
    </w:rPr>
  </w:style>
  <w:style w:type="paragraph" w:customStyle="1" w:styleId="1">
    <w:name w:val="1"/>
    <w:basedOn w:val="Normal"/>
    <w:next w:val="Ttulo40"/>
    <w:rsid w:val="00047F73"/>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rsid w:val="00047F73"/>
    <w:pPr>
      <w:spacing w:before="240" w:after="60"/>
      <w:jc w:val="center"/>
    </w:pPr>
    <w:rPr>
      <w:rFonts w:ascii="ArAal" w:hAnsi="ArAal" w:cs="ArAal"/>
      <w:b/>
      <w:sz w:val="20"/>
      <w:szCs w:val="20"/>
      <w:lang w:val="es-MX" w:eastAsia="es-MX"/>
    </w:rPr>
  </w:style>
  <w:style w:type="paragraph" w:styleId="Subttulo">
    <w:name w:val="Subtitle"/>
    <w:basedOn w:val="Normal"/>
    <w:next w:val="Normal"/>
    <w:link w:val="SubttuloCar"/>
    <w:qFormat/>
    <w:rsid w:val="00047F73"/>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047F73"/>
    <w:rPr>
      <w:rFonts w:ascii="CaAbria" w:eastAsia="Times New Roman" w:hAnsi="CaAbria" w:cs="CaAbria"/>
      <w:i/>
      <w:color w:val="C0C0C0"/>
      <w:spacing w:val="15"/>
      <w:szCs w:val="20"/>
      <w:lang w:eastAsia="es-MX"/>
    </w:rPr>
  </w:style>
  <w:style w:type="paragraph" w:customStyle="1" w:styleId="m">
    <w:name w:val="m"/>
    <w:basedOn w:val="Normal"/>
    <w:rsid w:val="00047F73"/>
    <w:pPr>
      <w:spacing w:after="101" w:line="216" w:lineRule="exact"/>
      <w:ind w:left="1440" w:hanging="1152"/>
      <w:jc w:val="both"/>
    </w:pPr>
    <w:rPr>
      <w:rFonts w:ascii="ArAal" w:hAnsi="ArAal" w:cs="ArAal"/>
      <w:sz w:val="18"/>
      <w:szCs w:val="20"/>
      <w:lang w:val="es-MX" w:eastAsia="es-MX"/>
    </w:rPr>
  </w:style>
  <w:style w:type="paragraph" w:customStyle="1" w:styleId="n">
    <w:name w:val="n"/>
    <w:basedOn w:val="Normal"/>
    <w:rsid w:val="00047F73"/>
    <w:pPr>
      <w:spacing w:after="101" w:line="216" w:lineRule="exact"/>
      <w:ind w:left="1440" w:hanging="1152"/>
      <w:jc w:val="both"/>
    </w:pPr>
    <w:rPr>
      <w:rFonts w:ascii="ArAal" w:hAnsi="ArAal" w:cs="ArAal"/>
      <w:sz w:val="18"/>
      <w:szCs w:val="20"/>
      <w:lang w:val="es-MX" w:eastAsia="es-MX"/>
    </w:rPr>
  </w:style>
  <w:style w:type="paragraph" w:customStyle="1" w:styleId="Textonormal">
    <w:name w:val="Texto normal"/>
    <w:basedOn w:val="Normal"/>
    <w:rsid w:val="00047F73"/>
    <w:pPr>
      <w:jc w:val="both"/>
    </w:pPr>
    <w:rPr>
      <w:rFonts w:ascii="ArAal" w:hAnsi="ArAal" w:cs="ArAal"/>
      <w:szCs w:val="20"/>
      <w:lang w:val="es-MX" w:eastAsia="es-MX"/>
    </w:rPr>
  </w:style>
  <w:style w:type="paragraph" w:customStyle="1" w:styleId="Textosinformato1">
    <w:name w:val="Texto sin formato1"/>
    <w:basedOn w:val="Normal"/>
    <w:rsid w:val="00047F73"/>
    <w:rPr>
      <w:rFonts w:ascii="CoArier New" w:hAnsi="CoArier New" w:cs="CoArier New"/>
      <w:sz w:val="20"/>
      <w:szCs w:val="20"/>
      <w:lang w:val="es-MX" w:eastAsia="es-MX"/>
    </w:rPr>
  </w:style>
  <w:style w:type="paragraph" w:customStyle="1" w:styleId="xl65">
    <w:name w:val="xl65"/>
    <w:basedOn w:val="Normal"/>
    <w:rsid w:val="00047F73"/>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6">
    <w:name w:val="xl66"/>
    <w:basedOn w:val="Normal"/>
    <w:rsid w:val="00047F73"/>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7">
    <w:name w:val="xl67"/>
    <w:basedOn w:val="Normal"/>
    <w:rsid w:val="00047F73"/>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68">
    <w:name w:val="xl68"/>
    <w:basedOn w:val="Normal"/>
    <w:rsid w:val="00047F73"/>
    <w:pPr>
      <w:shd w:val="clear" w:color="000000" w:fill="FFFFFF"/>
      <w:spacing w:before="100" w:after="100"/>
      <w:jc w:val="right"/>
    </w:pPr>
    <w:rPr>
      <w:rFonts w:ascii="ArAal" w:hAnsi="ArAal" w:cs="ArAal"/>
      <w:color w:val="000000"/>
      <w:sz w:val="18"/>
      <w:szCs w:val="20"/>
      <w:lang w:val="es-MX" w:eastAsia="es-MX"/>
    </w:rPr>
  </w:style>
  <w:style w:type="paragraph" w:customStyle="1" w:styleId="xl69">
    <w:name w:val="xl69"/>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0">
    <w:name w:val="xl70"/>
    <w:basedOn w:val="Normal"/>
    <w:rsid w:val="00047F73"/>
    <w:pPr>
      <w:shd w:val="clear" w:color="000000" w:fill="FFFFFF"/>
      <w:spacing w:before="100" w:after="100"/>
    </w:pPr>
    <w:rPr>
      <w:rFonts w:ascii="ArAal" w:hAnsi="ArAal" w:cs="ArAal"/>
      <w:sz w:val="18"/>
      <w:szCs w:val="20"/>
      <w:lang w:val="es-MX" w:eastAsia="es-MX"/>
    </w:rPr>
  </w:style>
  <w:style w:type="paragraph" w:customStyle="1" w:styleId="xl71">
    <w:name w:val="xl71"/>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2">
    <w:name w:val="xl72"/>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3">
    <w:name w:val="xl73"/>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047F73"/>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047F73"/>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047F73"/>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047F73"/>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047F73"/>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047F73"/>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047F73"/>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047F73"/>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047F73"/>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047F73"/>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047F73"/>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047F73"/>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047F73"/>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047F73"/>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047F73"/>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047F73"/>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047F73"/>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047F73"/>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047F73"/>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047F73"/>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047F73"/>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047F73"/>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047F73"/>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047F73"/>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047F73"/>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047F73"/>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Textodeglobo1">
    <w:name w:val="Texto de globo1"/>
    <w:basedOn w:val="Normal"/>
    <w:rsid w:val="00047F73"/>
    <w:rPr>
      <w:rFonts w:ascii="TaAoma" w:hAnsi="TaAoma" w:cs="TaAoma"/>
      <w:sz w:val="16"/>
      <w:szCs w:val="20"/>
      <w:lang w:val="es-MX" w:eastAsia="es-MX"/>
    </w:rPr>
  </w:style>
  <w:style w:type="paragraph" w:customStyle="1" w:styleId="xl102">
    <w:name w:val="xl102"/>
    <w:basedOn w:val="Normal"/>
    <w:rsid w:val="00047F73"/>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047F73"/>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5">
    <w:name w:val="font5"/>
    <w:basedOn w:val="Normal"/>
    <w:rsid w:val="00047F73"/>
    <w:pPr>
      <w:spacing w:before="100" w:after="100"/>
    </w:pPr>
    <w:rPr>
      <w:rFonts w:ascii="ArAal" w:hAnsi="ArAal" w:cs="ArAal"/>
      <w:color w:val="000000"/>
      <w:sz w:val="18"/>
      <w:szCs w:val="20"/>
      <w:lang w:val="es-MX" w:eastAsia="es-MX"/>
    </w:rPr>
  </w:style>
  <w:style w:type="paragraph" w:customStyle="1" w:styleId="font6">
    <w:name w:val="font6"/>
    <w:basedOn w:val="Normal"/>
    <w:rsid w:val="00047F73"/>
    <w:pPr>
      <w:spacing w:before="100" w:after="100"/>
    </w:pPr>
    <w:rPr>
      <w:rFonts w:ascii="ArAal" w:hAnsi="ArAal" w:cs="ArAal"/>
      <w:color w:val="000000"/>
      <w:sz w:val="18"/>
      <w:szCs w:val="20"/>
      <w:lang w:val="es-MX" w:eastAsia="es-MX"/>
    </w:rPr>
  </w:style>
  <w:style w:type="paragraph" w:customStyle="1" w:styleId="font7">
    <w:name w:val="font7"/>
    <w:basedOn w:val="Normal"/>
    <w:rsid w:val="00047F73"/>
    <w:pPr>
      <w:spacing w:before="100" w:after="100"/>
    </w:pPr>
    <w:rPr>
      <w:rFonts w:ascii="TaAoma" w:hAnsi="TaAoma" w:cs="TaAoma"/>
      <w:color w:val="000000"/>
      <w:sz w:val="18"/>
      <w:szCs w:val="20"/>
      <w:lang w:val="es-MX" w:eastAsia="es-MX"/>
    </w:rPr>
  </w:style>
  <w:style w:type="paragraph" w:customStyle="1" w:styleId="font8">
    <w:name w:val="font8"/>
    <w:basedOn w:val="Normal"/>
    <w:rsid w:val="00047F73"/>
    <w:pPr>
      <w:spacing w:before="100" w:after="100"/>
    </w:pPr>
    <w:rPr>
      <w:rFonts w:ascii="TaAoma" w:hAnsi="TaAoma" w:cs="TaAoma"/>
      <w:b/>
      <w:color w:val="000000"/>
      <w:sz w:val="18"/>
      <w:szCs w:val="20"/>
      <w:lang w:val="es-MX" w:eastAsia="es-MX"/>
    </w:rPr>
  </w:style>
  <w:style w:type="paragraph" w:customStyle="1" w:styleId="xl104">
    <w:name w:val="xl104"/>
    <w:basedOn w:val="Normal"/>
    <w:rsid w:val="00047F73"/>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047F73"/>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047F73"/>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047F73"/>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047F73"/>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047F73"/>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047F73"/>
    <w:rPr>
      <w:rFonts w:ascii="TaAoma" w:hAnsi="TaAoma" w:cs="TaAoma"/>
      <w:sz w:val="16"/>
      <w:szCs w:val="20"/>
      <w:lang w:val="es-MX" w:eastAsia="es-MX"/>
    </w:rPr>
  </w:style>
  <w:style w:type="paragraph" w:customStyle="1" w:styleId="Textosinformato2">
    <w:name w:val="Texto sin formato2"/>
    <w:basedOn w:val="Normal"/>
    <w:rsid w:val="00047F73"/>
    <w:pPr>
      <w:jc w:val="both"/>
    </w:pPr>
    <w:rPr>
      <w:rFonts w:ascii="CoArier New" w:hAnsi="CoArier New" w:cs="CoArier New"/>
      <w:sz w:val="20"/>
      <w:szCs w:val="20"/>
      <w:lang w:val="en-US" w:eastAsia="es-MX"/>
    </w:rPr>
  </w:style>
  <w:style w:type="paragraph" w:customStyle="1" w:styleId="Asuntodelcomentario1">
    <w:name w:val="Asunto del comentario1"/>
    <w:basedOn w:val="Textocomentario"/>
    <w:next w:val="Textocomentario"/>
    <w:rsid w:val="00047F73"/>
    <w:rPr>
      <w:rFonts w:ascii="TiAes New Roman" w:hAnsi="TiAes New Roman" w:cs="TiAes New Roman"/>
      <w:b/>
      <w:lang w:val="es-ES"/>
    </w:rPr>
  </w:style>
  <w:style w:type="paragraph" w:customStyle="1" w:styleId="Mapadeldocumento2">
    <w:name w:val="Mapa del documento2"/>
    <w:basedOn w:val="Normal"/>
    <w:rsid w:val="00047F73"/>
    <w:pPr>
      <w:shd w:val="clear" w:color="auto" w:fill="000080"/>
    </w:pPr>
    <w:rPr>
      <w:rFonts w:ascii="TaAoma" w:hAnsi="TaAoma" w:cs="TaAoma"/>
      <w:sz w:val="20"/>
      <w:szCs w:val="20"/>
      <w:lang w:val="en-US" w:eastAsia="es-MX"/>
    </w:rPr>
  </w:style>
  <w:style w:type="paragraph" w:customStyle="1" w:styleId="Car">
    <w:name w:val="Car"/>
    <w:basedOn w:val="Normal"/>
    <w:rsid w:val="00047F73"/>
    <w:pPr>
      <w:spacing w:after="160" w:line="240" w:lineRule="exact"/>
    </w:pPr>
    <w:rPr>
      <w:rFonts w:ascii="TaAoma" w:hAnsi="TaAoma" w:cs="TaAoma"/>
      <w:sz w:val="20"/>
      <w:szCs w:val="20"/>
      <w:lang w:val="en-US" w:eastAsia="es-MX"/>
    </w:rPr>
  </w:style>
  <w:style w:type="paragraph" w:customStyle="1" w:styleId="textocar0">
    <w:name w:val="textocar"/>
    <w:basedOn w:val="Normal"/>
    <w:rsid w:val="00047F73"/>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047F73"/>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047F73"/>
    <w:pPr>
      <w:spacing w:before="101" w:after="101"/>
      <w:jc w:val="center"/>
    </w:pPr>
    <w:rPr>
      <w:rFonts w:ascii="TiAes New Roman" w:hAnsi="TiAes New Roman" w:cs="TiAes New Roman"/>
      <w:b/>
      <w:sz w:val="18"/>
      <w:szCs w:val="20"/>
      <w:lang w:val="es-MX" w:eastAsia="es-MX"/>
    </w:rPr>
  </w:style>
  <w:style w:type="paragraph" w:customStyle="1" w:styleId="Blockquote">
    <w:name w:val="Blockquote"/>
    <w:basedOn w:val="Normal"/>
    <w:rsid w:val="00047F73"/>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047F73"/>
    <w:pPr>
      <w:spacing w:before="240" w:after="60"/>
      <w:jc w:val="center"/>
    </w:pPr>
    <w:rPr>
      <w:rFonts w:ascii="ArAal" w:hAnsi="ArAal" w:cs="ArAal"/>
      <w:b/>
      <w:sz w:val="32"/>
      <w:szCs w:val="20"/>
      <w:lang w:val="es-MX" w:eastAsia="es-MX"/>
    </w:rPr>
  </w:style>
  <w:style w:type="paragraph" w:customStyle="1" w:styleId="centneg">
    <w:name w:val="centneg"/>
    <w:basedOn w:val="texto0"/>
    <w:rsid w:val="00047F73"/>
    <w:pPr>
      <w:spacing w:line="216" w:lineRule="atLeast"/>
      <w:ind w:firstLine="0"/>
      <w:jc w:val="center"/>
    </w:pPr>
    <w:rPr>
      <w:b/>
      <w:lang w:val="es-ES_tradnl"/>
    </w:rPr>
  </w:style>
  <w:style w:type="paragraph" w:customStyle="1" w:styleId="66">
    <w:name w:val="66"/>
    <w:basedOn w:val="Normal"/>
    <w:rsid w:val="00047F73"/>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047F73"/>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047F73"/>
    <w:pPr>
      <w:ind w:left="6030" w:hanging="6030"/>
    </w:pPr>
  </w:style>
  <w:style w:type="paragraph" w:customStyle="1" w:styleId="Textoindependiente31">
    <w:name w:val="Texto independiente 31"/>
    <w:basedOn w:val="Normal"/>
    <w:rsid w:val="00047F73"/>
    <w:pPr>
      <w:jc w:val="both"/>
    </w:pPr>
    <w:rPr>
      <w:rFonts w:ascii="ArAal" w:hAnsi="ArAal" w:cs="ArAal"/>
      <w:sz w:val="20"/>
      <w:szCs w:val="20"/>
      <w:lang w:eastAsia="es-MX"/>
    </w:rPr>
  </w:style>
  <w:style w:type="paragraph" w:customStyle="1" w:styleId="3">
    <w:name w:val="3"/>
    <w:basedOn w:val="texto0"/>
    <w:rsid w:val="00047F73"/>
    <w:pPr>
      <w:spacing w:line="216" w:lineRule="atLeast"/>
      <w:ind w:left="1710" w:hanging="540"/>
    </w:pPr>
    <w:rPr>
      <w:lang w:val="es-ES_tradnl"/>
    </w:rPr>
  </w:style>
  <w:style w:type="paragraph" w:customStyle="1" w:styleId="OmniPage13">
    <w:name w:val="OmniPage #13"/>
    <w:basedOn w:val="Normal"/>
    <w:rsid w:val="00047F73"/>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047F73"/>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047F73"/>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047F73"/>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047F73"/>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047F73"/>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047F73"/>
    <w:rPr>
      <w:rFonts w:ascii="TiAes New Roman" w:hAnsi="TiAes New Roman" w:cs="TiAes New Roman"/>
      <w:szCs w:val="20"/>
      <w:lang w:val="es-ES_tradnl" w:eastAsia="es-MX"/>
    </w:rPr>
  </w:style>
  <w:style w:type="paragraph" w:customStyle="1" w:styleId="OmniPage28">
    <w:name w:val="OmniPage #28"/>
    <w:basedOn w:val="Normal"/>
    <w:rsid w:val="00047F73"/>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047F73"/>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047F73"/>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047F73"/>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047F73"/>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047F73"/>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047F73"/>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047F73"/>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047F73"/>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047F73"/>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047F73"/>
    <w:rPr>
      <w:rFonts w:ascii="TiAes New Roman" w:hAnsi="TiAes New Roman" w:cs="TiAes New Roman"/>
      <w:i/>
      <w:sz w:val="20"/>
      <w:szCs w:val="20"/>
      <w:lang w:eastAsia="es-MX"/>
    </w:rPr>
  </w:style>
  <w:style w:type="paragraph" w:customStyle="1" w:styleId="Direccin">
    <w:name w:val="Dirección"/>
    <w:basedOn w:val="Normal"/>
    <w:rsid w:val="00047F73"/>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047F73"/>
    <w:pPr>
      <w:spacing w:before="120"/>
    </w:pPr>
    <w:rPr>
      <w:rFonts w:ascii="ArAal" w:hAnsi="ArAal" w:cs="ArAal"/>
      <w:b/>
      <w:szCs w:val="20"/>
      <w:lang w:eastAsia="es-MX"/>
    </w:rPr>
  </w:style>
  <w:style w:type="paragraph" w:customStyle="1" w:styleId="Encabezadodelmensaje">
    <w:name w:val="Encabezado del mensaje"/>
    <w:basedOn w:val="Normal"/>
    <w:rsid w:val="00047F73"/>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047F73"/>
    <w:rPr>
      <w:rFonts w:ascii="TiAes New Roman" w:hAnsi="TiAes New Roman" w:cs="TiAes New Roman"/>
      <w:sz w:val="20"/>
      <w:szCs w:val="20"/>
      <w:lang w:eastAsia="es-MX"/>
    </w:rPr>
  </w:style>
  <w:style w:type="paragraph" w:customStyle="1" w:styleId="Fecha1">
    <w:name w:val="Fecha1"/>
    <w:basedOn w:val="Normal"/>
    <w:next w:val="Normal"/>
    <w:rsid w:val="00047F73"/>
    <w:rPr>
      <w:rFonts w:ascii="TiAes New Roman" w:hAnsi="TiAes New Roman" w:cs="TiAes New Roman"/>
      <w:sz w:val="20"/>
      <w:szCs w:val="20"/>
      <w:lang w:eastAsia="es-MX"/>
    </w:rPr>
  </w:style>
  <w:style w:type="paragraph" w:styleId="Firma">
    <w:name w:val="Signature"/>
    <w:basedOn w:val="Normal"/>
    <w:link w:val="FirmaCar"/>
    <w:rsid w:val="00047F73"/>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047F73"/>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047F73"/>
    <w:rPr>
      <w:rFonts w:ascii="TiAes New Roman" w:hAnsi="TiAes New Roman" w:cs="TiAes New Roman"/>
      <w:sz w:val="20"/>
      <w:szCs w:val="20"/>
      <w:lang w:eastAsia="es-MX"/>
    </w:rPr>
  </w:style>
  <w:style w:type="paragraph" w:customStyle="1" w:styleId="HTMLconformatoprevio1">
    <w:name w:val="HTML con formato previo1"/>
    <w:basedOn w:val="Normal"/>
    <w:rsid w:val="00047F73"/>
    <w:rPr>
      <w:rFonts w:ascii="CoArier New" w:hAnsi="CoArier New" w:cs="CoArier New"/>
      <w:sz w:val="20"/>
      <w:szCs w:val="20"/>
      <w:lang w:eastAsia="es-MX"/>
    </w:rPr>
  </w:style>
  <w:style w:type="paragraph" w:customStyle="1" w:styleId="ndice81">
    <w:name w:val="Índice 81"/>
    <w:basedOn w:val="Normal"/>
    <w:next w:val="Normal"/>
    <w:rsid w:val="00047F73"/>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047F73"/>
    <w:pPr>
      <w:ind w:left="1800" w:hanging="200"/>
    </w:pPr>
    <w:rPr>
      <w:rFonts w:ascii="TiAes New Roman" w:hAnsi="TiAes New Roman" w:cs="TiAes New Roman"/>
      <w:sz w:val="20"/>
      <w:szCs w:val="20"/>
      <w:lang w:eastAsia="es-MX"/>
    </w:rPr>
  </w:style>
  <w:style w:type="paragraph" w:styleId="Lista4">
    <w:name w:val="List 4"/>
    <w:basedOn w:val="Normal"/>
    <w:rsid w:val="00047F73"/>
    <w:pPr>
      <w:ind w:left="283" w:hanging="283"/>
    </w:pPr>
    <w:rPr>
      <w:rFonts w:ascii="TiAes New Roman" w:hAnsi="TiAes New Roman" w:cs="TiAes New Roman"/>
      <w:sz w:val="20"/>
      <w:szCs w:val="20"/>
      <w:lang w:eastAsia="es-MX"/>
    </w:rPr>
  </w:style>
  <w:style w:type="paragraph" w:styleId="Lista5">
    <w:name w:val="List 5"/>
    <w:basedOn w:val="Normal"/>
    <w:rsid w:val="00047F73"/>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047F73"/>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047F73"/>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047F73"/>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047F73"/>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047F73"/>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047F73"/>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047F73"/>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047F73"/>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047F73"/>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047F73"/>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047F73"/>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047F73"/>
    <w:rPr>
      <w:rFonts w:ascii="ArAal" w:hAnsi="ArAal" w:cs="ArAal"/>
      <w:sz w:val="20"/>
      <w:szCs w:val="20"/>
      <w:lang w:eastAsia="es-MX"/>
    </w:rPr>
  </w:style>
  <w:style w:type="paragraph" w:customStyle="1" w:styleId="Saludo1">
    <w:name w:val="Saludo1"/>
    <w:basedOn w:val="Normal"/>
    <w:next w:val="Normal"/>
    <w:rsid w:val="00047F73"/>
    <w:rPr>
      <w:rFonts w:ascii="TiAes New Roman" w:hAnsi="TiAes New Roman" w:cs="TiAes New Roman"/>
      <w:sz w:val="20"/>
      <w:szCs w:val="20"/>
      <w:lang w:eastAsia="es-MX"/>
    </w:rPr>
  </w:style>
  <w:style w:type="paragraph" w:customStyle="1" w:styleId="Sangra3detindepend">
    <w:name w:val="Sangría 3 de t. independ"/>
    <w:basedOn w:val="Normal"/>
    <w:rsid w:val="00047F73"/>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047F73"/>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047F73"/>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047F73"/>
    <w:pPr>
      <w:ind w:left="200" w:hanging="200"/>
    </w:pPr>
    <w:rPr>
      <w:rFonts w:ascii="TiAes New Roman" w:hAnsi="TiAes New Roman" w:cs="TiAes New Roman"/>
      <w:sz w:val="20"/>
      <w:szCs w:val="20"/>
      <w:lang w:eastAsia="es-MX"/>
    </w:rPr>
  </w:style>
  <w:style w:type="paragraph" w:customStyle="1" w:styleId="Textoindependienteprim">
    <w:name w:val="Texto independiente prim"/>
    <w:basedOn w:val="Textonormal"/>
    <w:rsid w:val="00047F73"/>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Normal"/>
    <w:rsid w:val="00047F73"/>
    <w:pPr>
      <w:spacing w:after="120"/>
      <w:ind w:left="283" w:firstLine="210"/>
    </w:pPr>
    <w:rPr>
      <w:rFonts w:ascii="TiAes New Roman" w:hAnsi="TiAes New Roman" w:cs="TiAes New Roman"/>
      <w:sz w:val="20"/>
      <w:szCs w:val="20"/>
      <w:lang w:eastAsia="es-MX"/>
    </w:rPr>
  </w:style>
  <w:style w:type="paragraph" w:styleId="Textomacro">
    <w:name w:val="macro"/>
    <w:link w:val="TextomacroCar"/>
    <w:rsid w:val="00047F73"/>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047F73"/>
    <w:rPr>
      <w:rFonts w:ascii="CoArier New" w:eastAsia="Times New Roman" w:hAnsi="CoArier New" w:cs="CoArier New"/>
      <w:sz w:val="20"/>
      <w:szCs w:val="20"/>
      <w:lang w:val="es-ES" w:eastAsia="es-MX"/>
    </w:rPr>
  </w:style>
  <w:style w:type="paragraph" w:customStyle="1" w:styleId="As">
    <w:name w:val="As"/>
    <w:basedOn w:val="Normal"/>
    <w:rsid w:val="00047F73"/>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047F73"/>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047F73"/>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047F73"/>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047F73"/>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047F73"/>
    <w:pPr>
      <w:spacing w:before="100" w:after="100"/>
    </w:pPr>
    <w:rPr>
      <w:rFonts w:ascii="TiAes New Roman" w:hAnsi="TiAes New Roman" w:cs="TiAes New Roman"/>
      <w:szCs w:val="20"/>
      <w:lang w:val="es-MX" w:eastAsia="es-MX"/>
    </w:rPr>
  </w:style>
  <w:style w:type="paragraph" w:customStyle="1" w:styleId="xl107">
    <w:name w:val="xl107"/>
    <w:basedOn w:val="Normal"/>
    <w:rsid w:val="00047F73"/>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tulo30">
    <w:name w:val="Título3"/>
    <w:basedOn w:val="Normal"/>
    <w:rsid w:val="00047F73"/>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047F73"/>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047F73"/>
    <w:pPr>
      <w:spacing w:before="120" w:after="120"/>
    </w:pPr>
    <w:rPr>
      <w:rFonts w:ascii="TiAes New Roman" w:hAnsi="TiAes New Roman" w:cs="TiAes New Roman"/>
      <w:b/>
      <w:sz w:val="20"/>
      <w:szCs w:val="20"/>
      <w:lang w:eastAsia="es-MX"/>
    </w:rPr>
  </w:style>
  <w:style w:type="paragraph" w:styleId="Lista2">
    <w:name w:val="List 2"/>
    <w:basedOn w:val="Normal"/>
    <w:rsid w:val="00047F73"/>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047F73"/>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047F73"/>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047F73"/>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047F73"/>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047F73"/>
    <w:pPr>
      <w:spacing w:before="100" w:after="100"/>
    </w:pPr>
    <w:rPr>
      <w:rFonts w:ascii="TiAes New Roman" w:hAnsi="TiAes New Roman" w:cs="TiAes New Roman"/>
      <w:szCs w:val="20"/>
      <w:lang w:val="es-MX" w:eastAsia="es-MX"/>
    </w:rPr>
  </w:style>
  <w:style w:type="paragraph" w:customStyle="1" w:styleId="atributo">
    <w:name w:val="atributo"/>
    <w:basedOn w:val="Normal"/>
    <w:rsid w:val="00047F7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047F7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047F7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047F7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047F73"/>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047F7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047F7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047F73"/>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047F73"/>
    <w:pPr>
      <w:spacing w:before="100" w:after="100"/>
    </w:pPr>
    <w:rPr>
      <w:rFonts w:ascii="TiAes New Roman" w:hAnsi="TiAes New Roman" w:cs="TiAes New Roman"/>
      <w:szCs w:val="20"/>
      <w:lang w:val="es-MX" w:eastAsia="es-MX"/>
    </w:rPr>
  </w:style>
  <w:style w:type="paragraph" w:customStyle="1" w:styleId="q">
    <w:name w:val="q"/>
    <w:basedOn w:val="Normal"/>
    <w:rsid w:val="00047F73"/>
    <w:pPr>
      <w:spacing w:before="100" w:after="100"/>
    </w:pPr>
    <w:rPr>
      <w:rFonts w:ascii="TiAes New Roman" w:hAnsi="TiAes New Roman" w:cs="TiAes New Roman"/>
      <w:szCs w:val="20"/>
      <w:lang w:val="es-MX" w:eastAsia="es-MX"/>
    </w:rPr>
  </w:style>
  <w:style w:type="paragraph" w:customStyle="1" w:styleId="ww">
    <w:name w:val="ww"/>
    <w:basedOn w:val="Normal"/>
    <w:rsid w:val="00047F73"/>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Normal"/>
    <w:rsid w:val="00047F73"/>
    <w:pPr>
      <w:tabs>
        <w:tab w:val="left" w:pos="5040"/>
        <w:tab w:val="center" w:pos="7800"/>
      </w:tabs>
      <w:spacing w:after="101" w:line="216" w:lineRule="exact"/>
      <w:ind w:left="288"/>
    </w:pPr>
    <w:rPr>
      <w:rFonts w:ascii="ArAal" w:hAnsi="ArAal" w:cs="ArAal"/>
      <w:sz w:val="18"/>
      <w:szCs w:val="20"/>
      <w:lang w:val="es-MX" w:eastAsia="es-MX"/>
    </w:rPr>
  </w:style>
  <w:style w:type="paragraph" w:customStyle="1" w:styleId="a0">
    <w:name w:val="a"/>
    <w:basedOn w:val="Normal"/>
    <w:rsid w:val="00047F73"/>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047F73"/>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047F73"/>
    <w:pPr>
      <w:spacing w:before="100" w:after="100"/>
      <w:jc w:val="center"/>
    </w:pPr>
    <w:rPr>
      <w:rFonts w:ascii="ArAal" w:hAnsi="ArAal" w:cs="ArAal"/>
      <w:sz w:val="16"/>
      <w:szCs w:val="20"/>
      <w:lang w:eastAsia="es-MX"/>
    </w:rPr>
  </w:style>
  <w:style w:type="paragraph" w:customStyle="1" w:styleId="xl24">
    <w:name w:val="xl24"/>
    <w:basedOn w:val="Normal"/>
    <w:rsid w:val="00047F73"/>
    <w:pPr>
      <w:spacing w:before="100" w:after="100"/>
    </w:pPr>
    <w:rPr>
      <w:rFonts w:ascii="ArAal" w:hAnsi="ArAal" w:cs="ArAal"/>
      <w:sz w:val="16"/>
      <w:szCs w:val="20"/>
      <w:lang w:eastAsia="es-MX"/>
    </w:rPr>
  </w:style>
  <w:style w:type="paragraph" w:customStyle="1" w:styleId="xl26">
    <w:name w:val="xl26"/>
    <w:basedOn w:val="Normal"/>
    <w:rsid w:val="00047F73"/>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047F73"/>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047F73"/>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next w:val="Normal"/>
    <w:rsid w:val="00047F73"/>
    <w:pPr>
      <w:pBdr>
        <w:bottom w:val="double" w:sz="6" w:space="0" w:color="auto"/>
      </w:pBdr>
      <w:spacing w:before="100" w:after="100"/>
      <w:jc w:val="center"/>
    </w:pPr>
    <w:rPr>
      <w:rFonts w:ascii="ArAal" w:hAnsi="ArAal" w:cs="ArAal"/>
      <w:sz w:val="16"/>
      <w:szCs w:val="20"/>
      <w:lang w:eastAsia="es-MX"/>
    </w:rPr>
  </w:style>
  <w:style w:type="character" w:styleId="Hipervnculo">
    <w:name w:val="Hyperlink"/>
    <w:uiPriority w:val="99"/>
    <w:unhideWhenUsed/>
    <w:rsid w:val="00047F73"/>
    <w:rPr>
      <w:color w:val="0563C1"/>
      <w:u w:val="single"/>
    </w:rPr>
  </w:style>
  <w:style w:type="table" w:styleId="Tablaconcuadrcula">
    <w:name w:val="Table Grid"/>
    <w:basedOn w:val="Tablanormal"/>
    <w:uiPriority w:val="59"/>
    <w:rsid w:val="00047F73"/>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
    <w:name w:val="w"/>
    <w:basedOn w:val="Texto"/>
    <w:qFormat/>
    <w:rsid w:val="00047F73"/>
    <w:pPr>
      <w:tabs>
        <w:tab w:val="right" w:pos="8496"/>
      </w:tabs>
      <w:ind w:firstLine="0"/>
    </w:pPr>
    <w:rPr>
      <w:b/>
      <w:noProof/>
      <w:sz w:val="16"/>
      <w:szCs w:val="18"/>
    </w:rPr>
  </w:style>
  <w:style w:type="paragraph" w:customStyle="1" w:styleId="c">
    <w:name w:val="c"/>
    <w:basedOn w:val="Texto"/>
    <w:qFormat/>
    <w:rsid w:val="00047F73"/>
    <w:pPr>
      <w:tabs>
        <w:tab w:val="left" w:pos="1980"/>
      </w:tabs>
    </w:pPr>
    <w:rPr>
      <w:b/>
      <w:sz w:val="16"/>
      <w:szCs w:val="18"/>
      <w:lang w:val="es-MX"/>
    </w:rPr>
  </w:style>
  <w:style w:type="paragraph" w:styleId="Textodeglobo">
    <w:name w:val="Balloon Text"/>
    <w:basedOn w:val="Normal"/>
    <w:link w:val="TextodegloboCar"/>
    <w:uiPriority w:val="99"/>
    <w:semiHidden/>
    <w:unhideWhenUsed/>
    <w:rsid w:val="00047F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F7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9200</Characters>
  <Application>Microsoft Office Word</Application>
  <DocSecurity>0</DocSecurity>
  <Lines>76</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2020-12-04T19:15:00Z</dcterms:created>
  <dcterms:modified xsi:type="dcterms:W3CDTF">2020-12-04T19:16:00Z</dcterms:modified>
</cp:coreProperties>
</file>