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0D" w:rsidRPr="00841D9A" w:rsidRDefault="00F6180D" w:rsidP="00F6180D">
      <w:pPr>
        <w:jc w:val="center"/>
        <w:rPr>
          <w:rFonts w:ascii="Verdana" w:eastAsia="Verdana" w:hAnsi="Verdana" w:cs="Verdana"/>
          <w:b/>
          <w:color w:val="0000FF"/>
          <w:sz w:val="24"/>
          <w:szCs w:val="24"/>
        </w:rPr>
      </w:pPr>
      <w:r w:rsidRPr="00F6180D">
        <w:rPr>
          <w:rFonts w:ascii="Verdana" w:eastAsia="Verdana" w:hAnsi="Verdana" w:cs="Verdana"/>
          <w:b/>
          <w:color w:val="0000FF"/>
          <w:sz w:val="24"/>
          <w:szCs w:val="24"/>
        </w:rPr>
        <w:t>ACUERDO por el que se determinan los días que se considerarán como inhábiles para efectos de los actos y procedimientos administrativos que se tramiten o deban tramitarse ante la Comisión Nacional Bancaria y de Valores por las entidades y personas sujetas a la supervisión de dicha Comisión, así como por las autoridades y público en general.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7445CE" w:rsidRDefault="00F6180D" w:rsidP="00F6180D">
      <w:pPr>
        <w:jc w:val="both"/>
        <w:rPr>
          <w:rFonts w:ascii="Arial" w:hAnsi="Arial" w:cs="Arial"/>
          <w:b/>
          <w:color w:val="2F2F2F"/>
          <w:sz w:val="18"/>
          <w:szCs w:val="18"/>
          <w:shd w:val="clear" w:color="auto" w:fill="FFFFFF"/>
        </w:rPr>
      </w:pPr>
      <w:r w:rsidRPr="00F6180D">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Bancaria y de Valores.</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La Comisión Nacional Bancaria y de Valores con fundamento en los artículos 14 y 16, párrafo primero, fracción I de la Ley de la Comisión Nacional Bancaria y de Valores, y en términos de lo previsto por los artículos 4 y 28, párrafo segundo de la Ley Federal de Procedimiento Administrativo, así como en el Artículo Tercero, numeral 76 del Acuerdo por el que se emiten las Disposiciones en las materias de Recursos Humanos y del Servicio Profesional de Carrera, al igual que en el Manual Administrativo de Aplicación General en materia de Recursos Humanos y Organización y el Manual del Servicio Profesional de Carrera, publicado en el Diario Oficial de la Federación el 12 de julio de 2010 y sus reformas, y</w:t>
      </w:r>
    </w:p>
    <w:p w:rsidR="00F6180D" w:rsidRPr="00F6180D" w:rsidRDefault="00F6180D" w:rsidP="00F6180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6180D">
        <w:rPr>
          <w:rFonts w:ascii="Times" w:eastAsia="Times New Roman" w:hAnsi="Times" w:cs="Times"/>
          <w:b/>
          <w:bCs/>
          <w:color w:val="2F2F2F"/>
          <w:sz w:val="18"/>
          <w:szCs w:val="18"/>
          <w:lang w:eastAsia="es-MX"/>
        </w:rPr>
        <w:t>CONSIDERANDO</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Que la Ley Federal de Procedimiento Administrativo es el ordenamiento legal que regula los actos, procedimientos y resoluciones de la Administración Pública Federal, incluyendo los de sus órganos administrativos desconcentrados, estableciendo en su artículo 28, párrafo segundo los días que no se considerarán hábiles, los cuales incluyen aquellos en que las autoridades competentes tengan vacaciones generales o aquellos en que se suspendan las labores, debiendo todos los días anteriores hacerse de conocimiento del público mediante publicación en el Diario Oficial de la Federación, y</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Que con la finalidad de dar certeza y seguridad jurídica a las entidades y particulares sujetos a la supervisión de la Comisión Nacional Bancaria y de Valores, así como a otras autoridades y público en general respecto de los actos y procedimientos administrativos que se llevan a cabo ante esta Comisión, resulta necesario establecer los días que se considerarán inhábiles y no correrán los plazos y términos dentro de dichos procedimientos, ha resuelto expedir el siguiente:</w:t>
      </w:r>
    </w:p>
    <w:p w:rsidR="00F6180D" w:rsidRPr="00F6180D" w:rsidRDefault="00F6180D" w:rsidP="00F6180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6180D">
        <w:rPr>
          <w:rFonts w:ascii="Times" w:eastAsia="Times New Roman" w:hAnsi="Times" w:cs="Times"/>
          <w:b/>
          <w:bCs/>
          <w:color w:val="2F2F2F"/>
          <w:sz w:val="18"/>
          <w:szCs w:val="18"/>
          <w:lang w:eastAsia="es-MX"/>
        </w:rPr>
        <w:t>ACUERDO POR EL QUE SE DETERMINAN LOS DÍAS QUE SE CONSIDERARÁN COMO INHÁBILES</w:t>
      </w:r>
      <w:r w:rsidRPr="00F6180D">
        <w:rPr>
          <w:rFonts w:ascii="Times New Roman" w:eastAsia="Times New Roman" w:hAnsi="Times New Roman" w:cs="Times New Roman"/>
          <w:b/>
          <w:bCs/>
          <w:color w:val="2F2F2F"/>
          <w:sz w:val="18"/>
          <w:szCs w:val="18"/>
          <w:lang w:eastAsia="es-MX"/>
        </w:rPr>
        <w:br/>
      </w:r>
      <w:r w:rsidRPr="00F6180D">
        <w:rPr>
          <w:rFonts w:ascii="Times" w:eastAsia="Times New Roman" w:hAnsi="Times" w:cs="Times"/>
          <w:b/>
          <w:bCs/>
          <w:color w:val="2F2F2F"/>
          <w:sz w:val="18"/>
          <w:szCs w:val="18"/>
          <w:lang w:eastAsia="es-MX"/>
        </w:rPr>
        <w:t>PARA EFECTOS DE LOS ACTOS Y PROCEDIMIENTOS ADMINISTRATIVOS QUE SE TRAMITEN O</w:t>
      </w:r>
      <w:r w:rsidRPr="00F6180D">
        <w:rPr>
          <w:rFonts w:ascii="Times New Roman" w:eastAsia="Times New Roman" w:hAnsi="Times New Roman" w:cs="Times New Roman"/>
          <w:b/>
          <w:bCs/>
          <w:color w:val="2F2F2F"/>
          <w:sz w:val="18"/>
          <w:szCs w:val="18"/>
          <w:lang w:eastAsia="es-MX"/>
        </w:rPr>
        <w:br/>
      </w:r>
      <w:r w:rsidRPr="00F6180D">
        <w:rPr>
          <w:rFonts w:ascii="Times" w:eastAsia="Times New Roman" w:hAnsi="Times" w:cs="Times"/>
          <w:b/>
          <w:bCs/>
          <w:color w:val="2F2F2F"/>
          <w:sz w:val="18"/>
          <w:szCs w:val="18"/>
          <w:lang w:eastAsia="es-MX"/>
        </w:rPr>
        <w:t>DEBAN TRAMITARSE ANTE LA COMISIÓN NACIONAL BANCARIA Y DE VALORES POR LAS</w:t>
      </w:r>
      <w:r w:rsidRPr="00F6180D">
        <w:rPr>
          <w:rFonts w:ascii="Times New Roman" w:eastAsia="Times New Roman" w:hAnsi="Times New Roman" w:cs="Times New Roman"/>
          <w:b/>
          <w:bCs/>
          <w:color w:val="2F2F2F"/>
          <w:sz w:val="18"/>
          <w:szCs w:val="18"/>
          <w:lang w:eastAsia="es-MX"/>
        </w:rPr>
        <w:br/>
      </w:r>
      <w:r w:rsidRPr="00F6180D">
        <w:rPr>
          <w:rFonts w:ascii="Times" w:eastAsia="Times New Roman" w:hAnsi="Times" w:cs="Times"/>
          <w:b/>
          <w:bCs/>
          <w:color w:val="2F2F2F"/>
          <w:sz w:val="18"/>
          <w:szCs w:val="18"/>
          <w:lang w:eastAsia="es-MX"/>
        </w:rPr>
        <w:t>ENTIDADES Y PERSONAS SUJETAS A LA SUPERVISIÓN DE DICHA COMISIÓN, ASÍ COMO POR LAS</w:t>
      </w:r>
      <w:r w:rsidRPr="00F6180D">
        <w:rPr>
          <w:rFonts w:ascii="Times New Roman" w:eastAsia="Times New Roman" w:hAnsi="Times New Roman" w:cs="Times New Roman"/>
          <w:b/>
          <w:bCs/>
          <w:color w:val="2F2F2F"/>
          <w:sz w:val="18"/>
          <w:szCs w:val="18"/>
          <w:lang w:eastAsia="es-MX"/>
        </w:rPr>
        <w:br/>
      </w:r>
      <w:r w:rsidRPr="00F6180D">
        <w:rPr>
          <w:rFonts w:ascii="Times" w:eastAsia="Times New Roman" w:hAnsi="Times" w:cs="Times"/>
          <w:b/>
          <w:bCs/>
          <w:color w:val="2F2F2F"/>
          <w:sz w:val="18"/>
          <w:szCs w:val="18"/>
          <w:lang w:eastAsia="es-MX"/>
        </w:rPr>
        <w:t>AUTORIDADES Y PÚBLICO EN GENERAL</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ÚNICO.-</w:t>
      </w:r>
      <w:r w:rsidRPr="00F6180D">
        <w:rPr>
          <w:rFonts w:ascii="Arial" w:eastAsia="Times New Roman" w:hAnsi="Arial" w:cs="Arial"/>
          <w:color w:val="2F2F2F"/>
          <w:sz w:val="18"/>
          <w:szCs w:val="18"/>
          <w:lang w:eastAsia="es-MX"/>
        </w:rPr>
        <w:t> Se considerarán como días inhábiles para efectos de los actos y procedimientos administrativos que se tramiten o deban tramitarse ante la Comisión Nacional Bancaria y de Valores, en adición a los sábados y domingos, los días siguientes:</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Del 19 al 23 de diciembre y del 26 al 30 de diciembre de 2022.</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II.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1 de enero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III.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primer lunes de febrero de 2023 en conmemoración del 5 de febrero.</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IV.</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tercer lunes de marzo de 2023 en conmemoración del 21 de marzo.</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V.</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6 y 7 de abril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VI.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1 de mayo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VII.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5 de mayo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VIII.</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16 de septiembre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IX.</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2 de noviembre de 2023.</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X.</w:t>
      </w:r>
      <w:r w:rsidRPr="00F6180D">
        <w:rPr>
          <w:rFonts w:ascii="Arial" w:eastAsia="Times New Roman" w:hAnsi="Arial" w:cs="Arial"/>
          <w:color w:val="2F2F2F"/>
          <w:sz w:val="20"/>
          <w:szCs w:val="20"/>
          <w:lang w:eastAsia="es-MX"/>
        </w:rPr>
        <w:t>    </w:t>
      </w:r>
      <w:r w:rsidRPr="00F6180D">
        <w:rPr>
          <w:rFonts w:ascii="Arial" w:eastAsia="Times New Roman" w:hAnsi="Arial" w:cs="Arial"/>
          <w:color w:val="2F2F2F"/>
          <w:sz w:val="18"/>
          <w:szCs w:val="18"/>
          <w:lang w:eastAsia="es-MX"/>
        </w:rPr>
        <w:t>El tercer lunes de noviembre de 2023 en conmemoración del 20 de noviembre.</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lastRenderedPageBreak/>
        <w:t>En los días y periodos inhábiles comprendidos en este Acuerdo se entenderán suspendidos los plazos para que la Comisión tome conocimiento o resuelva lo conducente respecto de los trámites o procedimientos que se gestionen ante ella.</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En el periodo comprendido entre el 17 de diciembre de 2022 al 1 de enero de 2023, se entenderán suspendidos los plazos fijados en días naturales para que la Comisión resuelva lo conducente respecto de los trámites o procedimientos que se gestionen ante ella y que se encuentren en proceso de atención.</w:t>
      </w:r>
    </w:p>
    <w:p w:rsidR="00F6180D" w:rsidRPr="00F6180D" w:rsidRDefault="00F6180D" w:rsidP="00F6180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6180D">
        <w:rPr>
          <w:rFonts w:ascii="Times" w:eastAsia="Times New Roman" w:hAnsi="Times" w:cs="Times"/>
          <w:b/>
          <w:bCs/>
          <w:color w:val="2F2F2F"/>
          <w:sz w:val="18"/>
          <w:szCs w:val="18"/>
          <w:lang w:eastAsia="es-MX"/>
        </w:rPr>
        <w:t>TRANSITORIOS</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PRIMERO.-</w:t>
      </w:r>
      <w:r w:rsidRPr="00F6180D">
        <w:rPr>
          <w:rFonts w:ascii="Arial" w:eastAsia="Times New Roman" w:hAnsi="Arial" w:cs="Arial"/>
          <w:color w:val="2F2F2F"/>
          <w:sz w:val="18"/>
          <w:szCs w:val="18"/>
          <w:lang w:eastAsia="es-MX"/>
        </w:rPr>
        <w:t> Publíquese en el Diario Oficial de la Federación.</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b/>
          <w:bCs/>
          <w:color w:val="2F2F2F"/>
          <w:sz w:val="18"/>
          <w:szCs w:val="18"/>
          <w:lang w:eastAsia="es-MX"/>
        </w:rPr>
        <w:t>SEGUNDO.- </w:t>
      </w:r>
      <w:r w:rsidRPr="00F6180D">
        <w:rPr>
          <w:rFonts w:ascii="Arial" w:eastAsia="Times New Roman" w:hAnsi="Arial" w:cs="Arial"/>
          <w:color w:val="2F2F2F"/>
          <w:sz w:val="18"/>
          <w:szCs w:val="18"/>
          <w:lang w:eastAsia="es-MX"/>
        </w:rPr>
        <w:t>El presente Acuerdo entrará en vigor el día siguiente al de su publicación en el Diario Oficial de la Federación.</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Atentamente</w:t>
      </w:r>
    </w:p>
    <w:p w:rsidR="00F6180D" w:rsidRPr="00F6180D" w:rsidRDefault="00F6180D" w:rsidP="00F6180D">
      <w:pPr>
        <w:shd w:val="clear" w:color="auto" w:fill="FFFFFF"/>
        <w:spacing w:after="80" w:line="240" w:lineRule="auto"/>
        <w:ind w:firstLine="288"/>
        <w:jc w:val="both"/>
        <w:rPr>
          <w:rFonts w:ascii="Arial" w:eastAsia="Times New Roman" w:hAnsi="Arial" w:cs="Arial"/>
          <w:color w:val="2F2F2F"/>
          <w:sz w:val="18"/>
          <w:szCs w:val="18"/>
          <w:lang w:eastAsia="es-MX"/>
        </w:rPr>
      </w:pPr>
      <w:r w:rsidRPr="00F6180D">
        <w:rPr>
          <w:rFonts w:ascii="Arial" w:eastAsia="Times New Roman" w:hAnsi="Arial" w:cs="Arial"/>
          <w:color w:val="2F2F2F"/>
          <w:sz w:val="18"/>
          <w:szCs w:val="18"/>
          <w:lang w:eastAsia="es-MX"/>
        </w:rPr>
        <w:t>Ciudad de México, a 8 de diciembre de 2022.- El Presidente de la Comisión Nacional Bancaria y de Valores, Dr.</w:t>
      </w:r>
      <w:r w:rsidRPr="00F6180D">
        <w:rPr>
          <w:rFonts w:ascii="Arial" w:eastAsia="Times New Roman" w:hAnsi="Arial" w:cs="Arial"/>
          <w:b/>
          <w:bCs/>
          <w:color w:val="2F2F2F"/>
          <w:sz w:val="18"/>
          <w:szCs w:val="18"/>
          <w:lang w:eastAsia="es-MX"/>
        </w:rPr>
        <w:t> Jesús de la Fuente Rodríguez</w:t>
      </w:r>
      <w:r w:rsidRPr="00F6180D">
        <w:rPr>
          <w:rFonts w:ascii="Arial" w:eastAsia="Times New Roman" w:hAnsi="Arial" w:cs="Arial"/>
          <w:color w:val="2F2F2F"/>
          <w:sz w:val="18"/>
          <w:szCs w:val="18"/>
          <w:lang w:eastAsia="es-MX"/>
        </w:rPr>
        <w:t>.- Rúbrica.</w:t>
      </w:r>
    </w:p>
    <w:p w:rsidR="00F6180D" w:rsidRDefault="00F6180D" w:rsidP="00F6180D">
      <w:pPr>
        <w:jc w:val="both"/>
      </w:pPr>
    </w:p>
    <w:sectPr w:rsidR="00F61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0D"/>
    <w:rsid w:val="007445CE"/>
    <w:rsid w:val="00F61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2411">
      <w:bodyDiv w:val="1"/>
      <w:marLeft w:val="0"/>
      <w:marRight w:val="0"/>
      <w:marTop w:val="0"/>
      <w:marBottom w:val="0"/>
      <w:divBdr>
        <w:top w:val="none" w:sz="0" w:space="0" w:color="auto"/>
        <w:left w:val="none" w:sz="0" w:space="0" w:color="auto"/>
        <w:bottom w:val="none" w:sz="0" w:space="0" w:color="auto"/>
        <w:right w:val="none" w:sz="0" w:space="0" w:color="auto"/>
      </w:divBdr>
      <w:divsChild>
        <w:div w:id="1580559030">
          <w:marLeft w:val="0"/>
          <w:marRight w:val="0"/>
          <w:marTop w:val="0"/>
          <w:marBottom w:val="80"/>
          <w:divBdr>
            <w:top w:val="none" w:sz="0" w:space="0" w:color="auto"/>
            <w:left w:val="none" w:sz="0" w:space="0" w:color="auto"/>
            <w:bottom w:val="none" w:sz="0" w:space="0" w:color="auto"/>
            <w:right w:val="none" w:sz="0" w:space="0" w:color="auto"/>
          </w:divBdr>
        </w:div>
        <w:div w:id="2100321926">
          <w:marLeft w:val="0"/>
          <w:marRight w:val="0"/>
          <w:marTop w:val="101"/>
          <w:marBottom w:val="80"/>
          <w:divBdr>
            <w:top w:val="none" w:sz="0" w:space="0" w:color="auto"/>
            <w:left w:val="none" w:sz="0" w:space="0" w:color="auto"/>
            <w:bottom w:val="none" w:sz="0" w:space="0" w:color="auto"/>
            <w:right w:val="none" w:sz="0" w:space="0" w:color="auto"/>
          </w:divBdr>
        </w:div>
        <w:div w:id="1783760813">
          <w:marLeft w:val="0"/>
          <w:marRight w:val="0"/>
          <w:marTop w:val="0"/>
          <w:marBottom w:val="80"/>
          <w:divBdr>
            <w:top w:val="none" w:sz="0" w:space="0" w:color="auto"/>
            <w:left w:val="none" w:sz="0" w:space="0" w:color="auto"/>
            <w:bottom w:val="none" w:sz="0" w:space="0" w:color="auto"/>
            <w:right w:val="none" w:sz="0" w:space="0" w:color="auto"/>
          </w:divBdr>
        </w:div>
        <w:div w:id="100996690">
          <w:marLeft w:val="0"/>
          <w:marRight w:val="0"/>
          <w:marTop w:val="0"/>
          <w:marBottom w:val="80"/>
          <w:divBdr>
            <w:top w:val="none" w:sz="0" w:space="0" w:color="auto"/>
            <w:left w:val="none" w:sz="0" w:space="0" w:color="auto"/>
            <w:bottom w:val="none" w:sz="0" w:space="0" w:color="auto"/>
            <w:right w:val="none" w:sz="0" w:space="0" w:color="auto"/>
          </w:divBdr>
        </w:div>
        <w:div w:id="1409889478">
          <w:marLeft w:val="0"/>
          <w:marRight w:val="0"/>
          <w:marTop w:val="101"/>
          <w:marBottom w:val="80"/>
          <w:divBdr>
            <w:top w:val="none" w:sz="0" w:space="0" w:color="auto"/>
            <w:left w:val="none" w:sz="0" w:space="0" w:color="auto"/>
            <w:bottom w:val="none" w:sz="0" w:space="0" w:color="auto"/>
            <w:right w:val="none" w:sz="0" w:space="0" w:color="auto"/>
          </w:divBdr>
        </w:div>
        <w:div w:id="827406715">
          <w:marLeft w:val="0"/>
          <w:marRight w:val="0"/>
          <w:marTop w:val="0"/>
          <w:marBottom w:val="80"/>
          <w:divBdr>
            <w:top w:val="none" w:sz="0" w:space="0" w:color="auto"/>
            <w:left w:val="none" w:sz="0" w:space="0" w:color="auto"/>
            <w:bottom w:val="none" w:sz="0" w:space="0" w:color="auto"/>
            <w:right w:val="none" w:sz="0" w:space="0" w:color="auto"/>
          </w:divBdr>
        </w:div>
        <w:div w:id="717047390">
          <w:marLeft w:val="0"/>
          <w:marRight w:val="0"/>
          <w:marTop w:val="0"/>
          <w:marBottom w:val="80"/>
          <w:divBdr>
            <w:top w:val="none" w:sz="0" w:space="0" w:color="auto"/>
            <w:left w:val="none" w:sz="0" w:space="0" w:color="auto"/>
            <w:bottom w:val="none" w:sz="0" w:space="0" w:color="auto"/>
            <w:right w:val="none" w:sz="0" w:space="0" w:color="auto"/>
          </w:divBdr>
        </w:div>
        <w:div w:id="660885419">
          <w:marLeft w:val="0"/>
          <w:marRight w:val="0"/>
          <w:marTop w:val="0"/>
          <w:marBottom w:val="80"/>
          <w:divBdr>
            <w:top w:val="none" w:sz="0" w:space="0" w:color="auto"/>
            <w:left w:val="none" w:sz="0" w:space="0" w:color="auto"/>
            <w:bottom w:val="none" w:sz="0" w:space="0" w:color="auto"/>
            <w:right w:val="none" w:sz="0" w:space="0" w:color="auto"/>
          </w:divBdr>
        </w:div>
        <w:div w:id="88815403">
          <w:marLeft w:val="0"/>
          <w:marRight w:val="0"/>
          <w:marTop w:val="0"/>
          <w:marBottom w:val="80"/>
          <w:divBdr>
            <w:top w:val="none" w:sz="0" w:space="0" w:color="auto"/>
            <w:left w:val="none" w:sz="0" w:space="0" w:color="auto"/>
            <w:bottom w:val="none" w:sz="0" w:space="0" w:color="auto"/>
            <w:right w:val="none" w:sz="0" w:space="0" w:color="auto"/>
          </w:divBdr>
        </w:div>
        <w:div w:id="2001039092">
          <w:marLeft w:val="0"/>
          <w:marRight w:val="0"/>
          <w:marTop w:val="0"/>
          <w:marBottom w:val="80"/>
          <w:divBdr>
            <w:top w:val="none" w:sz="0" w:space="0" w:color="auto"/>
            <w:left w:val="none" w:sz="0" w:space="0" w:color="auto"/>
            <w:bottom w:val="none" w:sz="0" w:space="0" w:color="auto"/>
            <w:right w:val="none" w:sz="0" w:space="0" w:color="auto"/>
          </w:divBdr>
        </w:div>
        <w:div w:id="954674809">
          <w:marLeft w:val="0"/>
          <w:marRight w:val="0"/>
          <w:marTop w:val="0"/>
          <w:marBottom w:val="80"/>
          <w:divBdr>
            <w:top w:val="none" w:sz="0" w:space="0" w:color="auto"/>
            <w:left w:val="none" w:sz="0" w:space="0" w:color="auto"/>
            <w:bottom w:val="none" w:sz="0" w:space="0" w:color="auto"/>
            <w:right w:val="none" w:sz="0" w:space="0" w:color="auto"/>
          </w:divBdr>
        </w:div>
        <w:div w:id="1557207292">
          <w:marLeft w:val="0"/>
          <w:marRight w:val="0"/>
          <w:marTop w:val="0"/>
          <w:marBottom w:val="80"/>
          <w:divBdr>
            <w:top w:val="none" w:sz="0" w:space="0" w:color="auto"/>
            <w:left w:val="none" w:sz="0" w:space="0" w:color="auto"/>
            <w:bottom w:val="none" w:sz="0" w:space="0" w:color="auto"/>
            <w:right w:val="none" w:sz="0" w:space="0" w:color="auto"/>
          </w:divBdr>
        </w:div>
        <w:div w:id="2035879294">
          <w:marLeft w:val="0"/>
          <w:marRight w:val="0"/>
          <w:marTop w:val="0"/>
          <w:marBottom w:val="80"/>
          <w:divBdr>
            <w:top w:val="none" w:sz="0" w:space="0" w:color="auto"/>
            <w:left w:val="none" w:sz="0" w:space="0" w:color="auto"/>
            <w:bottom w:val="none" w:sz="0" w:space="0" w:color="auto"/>
            <w:right w:val="none" w:sz="0" w:space="0" w:color="auto"/>
          </w:divBdr>
        </w:div>
        <w:div w:id="890922779">
          <w:marLeft w:val="0"/>
          <w:marRight w:val="0"/>
          <w:marTop w:val="0"/>
          <w:marBottom w:val="80"/>
          <w:divBdr>
            <w:top w:val="none" w:sz="0" w:space="0" w:color="auto"/>
            <w:left w:val="none" w:sz="0" w:space="0" w:color="auto"/>
            <w:bottom w:val="none" w:sz="0" w:space="0" w:color="auto"/>
            <w:right w:val="none" w:sz="0" w:space="0" w:color="auto"/>
          </w:divBdr>
        </w:div>
        <w:div w:id="769350770">
          <w:marLeft w:val="0"/>
          <w:marRight w:val="0"/>
          <w:marTop w:val="0"/>
          <w:marBottom w:val="80"/>
          <w:divBdr>
            <w:top w:val="none" w:sz="0" w:space="0" w:color="auto"/>
            <w:left w:val="none" w:sz="0" w:space="0" w:color="auto"/>
            <w:bottom w:val="none" w:sz="0" w:space="0" w:color="auto"/>
            <w:right w:val="none" w:sz="0" w:space="0" w:color="auto"/>
          </w:divBdr>
        </w:div>
        <w:div w:id="881020954">
          <w:marLeft w:val="0"/>
          <w:marRight w:val="0"/>
          <w:marTop w:val="0"/>
          <w:marBottom w:val="80"/>
          <w:divBdr>
            <w:top w:val="none" w:sz="0" w:space="0" w:color="auto"/>
            <w:left w:val="none" w:sz="0" w:space="0" w:color="auto"/>
            <w:bottom w:val="none" w:sz="0" w:space="0" w:color="auto"/>
            <w:right w:val="none" w:sz="0" w:space="0" w:color="auto"/>
          </w:divBdr>
        </w:div>
        <w:div w:id="437874960">
          <w:marLeft w:val="0"/>
          <w:marRight w:val="0"/>
          <w:marTop w:val="0"/>
          <w:marBottom w:val="80"/>
          <w:divBdr>
            <w:top w:val="none" w:sz="0" w:space="0" w:color="auto"/>
            <w:left w:val="none" w:sz="0" w:space="0" w:color="auto"/>
            <w:bottom w:val="none" w:sz="0" w:space="0" w:color="auto"/>
            <w:right w:val="none" w:sz="0" w:space="0" w:color="auto"/>
          </w:divBdr>
        </w:div>
        <w:div w:id="364410910">
          <w:marLeft w:val="0"/>
          <w:marRight w:val="0"/>
          <w:marTop w:val="0"/>
          <w:marBottom w:val="80"/>
          <w:divBdr>
            <w:top w:val="none" w:sz="0" w:space="0" w:color="auto"/>
            <w:left w:val="none" w:sz="0" w:space="0" w:color="auto"/>
            <w:bottom w:val="none" w:sz="0" w:space="0" w:color="auto"/>
            <w:right w:val="none" w:sz="0" w:space="0" w:color="auto"/>
          </w:divBdr>
        </w:div>
        <w:div w:id="1019427497">
          <w:marLeft w:val="0"/>
          <w:marRight w:val="0"/>
          <w:marTop w:val="101"/>
          <w:marBottom w:val="80"/>
          <w:divBdr>
            <w:top w:val="none" w:sz="0" w:space="0" w:color="auto"/>
            <w:left w:val="none" w:sz="0" w:space="0" w:color="auto"/>
            <w:bottom w:val="none" w:sz="0" w:space="0" w:color="auto"/>
            <w:right w:val="none" w:sz="0" w:space="0" w:color="auto"/>
          </w:divBdr>
        </w:div>
        <w:div w:id="1819616078">
          <w:marLeft w:val="0"/>
          <w:marRight w:val="0"/>
          <w:marTop w:val="0"/>
          <w:marBottom w:val="80"/>
          <w:divBdr>
            <w:top w:val="none" w:sz="0" w:space="0" w:color="auto"/>
            <w:left w:val="none" w:sz="0" w:space="0" w:color="auto"/>
            <w:bottom w:val="none" w:sz="0" w:space="0" w:color="auto"/>
            <w:right w:val="none" w:sz="0" w:space="0" w:color="auto"/>
          </w:divBdr>
        </w:div>
        <w:div w:id="1935019344">
          <w:marLeft w:val="0"/>
          <w:marRight w:val="0"/>
          <w:marTop w:val="0"/>
          <w:marBottom w:val="80"/>
          <w:divBdr>
            <w:top w:val="none" w:sz="0" w:space="0" w:color="auto"/>
            <w:left w:val="none" w:sz="0" w:space="0" w:color="auto"/>
            <w:bottom w:val="none" w:sz="0" w:space="0" w:color="auto"/>
            <w:right w:val="none" w:sz="0" w:space="0" w:color="auto"/>
          </w:divBdr>
        </w:div>
        <w:div w:id="963538350">
          <w:marLeft w:val="0"/>
          <w:marRight w:val="0"/>
          <w:marTop w:val="0"/>
          <w:marBottom w:val="80"/>
          <w:divBdr>
            <w:top w:val="none" w:sz="0" w:space="0" w:color="auto"/>
            <w:left w:val="none" w:sz="0" w:space="0" w:color="auto"/>
            <w:bottom w:val="none" w:sz="0" w:space="0" w:color="auto"/>
            <w:right w:val="none" w:sz="0" w:space="0" w:color="auto"/>
          </w:divBdr>
        </w:div>
        <w:div w:id="139357608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2022-12-15T14:25:00Z</dcterms:created>
  <dcterms:modified xsi:type="dcterms:W3CDTF">2022-12-15T14:27:00Z</dcterms:modified>
</cp:coreProperties>
</file>