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abril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42/2021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pesquero y agropecuario para el mes de abril de 2021.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ARTURO HERRERA GUTIÉRREZ, Secretario de Hacienda y Crédito Público,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 los estímulos fiscales aplicables para el mes de abril de 2021,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9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ABRIL 2021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marzo de 2021.-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Gabriel Yorio González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